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60" w:rsidRPr="00CD7356" w:rsidRDefault="0079395D">
      <w:pPr>
        <w:jc w:val="center"/>
        <w:rPr>
          <w:rFonts w:ascii="標楷體" w:eastAsia="標楷體" w:hAnsi="標楷體"/>
          <w:sz w:val="32"/>
          <w:szCs w:val="32"/>
        </w:rPr>
      </w:pPr>
      <w:r w:rsidRPr="00CD7356">
        <w:rPr>
          <w:rFonts w:ascii="標楷體" w:eastAsia="標楷體" w:hAnsi="標楷體" w:hint="eastAsia"/>
          <w:sz w:val="32"/>
          <w:szCs w:val="32"/>
        </w:rPr>
        <w:t>嘉義縣立</w:t>
      </w:r>
      <w:r w:rsidR="00CD7356" w:rsidRPr="00CD7356">
        <w:rPr>
          <w:rFonts w:ascii="標楷體" w:eastAsia="標楷體" w:hAnsi="標楷體" w:hint="eastAsia"/>
          <w:sz w:val="32"/>
          <w:szCs w:val="32"/>
        </w:rPr>
        <w:t>阿里山國民中小</w:t>
      </w:r>
      <w:r w:rsidRPr="00CD7356">
        <w:rPr>
          <w:rFonts w:ascii="標楷體" w:eastAsia="標楷體" w:hAnsi="標楷體" w:hint="eastAsia"/>
          <w:sz w:val="32"/>
          <w:szCs w:val="32"/>
        </w:rPr>
        <w:t>學教師成績考核委員會設置要點（草案）</w:t>
      </w:r>
    </w:p>
    <w:p w:rsidR="004363CC" w:rsidRDefault="0079395D">
      <w:pPr>
        <w:rPr>
          <w:rFonts w:ascii="標楷體" w:eastAsia="標楷體" w:hAnsi="標楷體"/>
        </w:rPr>
      </w:pPr>
      <w:r>
        <w:rPr>
          <w:rFonts w:ascii="標楷體" w:eastAsia="標楷體" w:hAnsi="標楷體" w:hint="eastAsia"/>
        </w:rPr>
        <w:t xml:space="preserve">                       </w:t>
      </w:r>
    </w:p>
    <w:p w:rsidR="006D3C60" w:rsidRDefault="004363CC">
      <w:pPr>
        <w:rPr>
          <w:rFonts w:ascii="標楷體" w:eastAsia="標楷體" w:hAnsi="標楷體"/>
          <w:sz w:val="20"/>
          <w:szCs w:val="20"/>
        </w:rPr>
      </w:pPr>
      <w:r>
        <w:rPr>
          <w:rFonts w:ascii="標楷體" w:eastAsia="標楷體" w:hAnsi="標楷體"/>
        </w:rPr>
        <w:t xml:space="preserve">                      </w:t>
      </w:r>
      <w:bookmarkStart w:id="0" w:name="_GoBack"/>
      <w:bookmarkEnd w:id="0"/>
      <w:r w:rsidR="0079395D">
        <w:rPr>
          <w:rFonts w:ascii="標楷體" w:eastAsia="標楷體" w:hAnsi="標楷體" w:hint="eastAsia"/>
          <w:sz w:val="20"/>
          <w:szCs w:val="20"/>
        </w:rPr>
        <w:t>本校111學年度第2學期期末校務會議訂定通過，並自112年8月1日起生效</w:t>
      </w:r>
    </w:p>
    <w:p w:rsidR="004363CC" w:rsidRDefault="004363CC">
      <w:pPr>
        <w:rPr>
          <w:rFonts w:ascii="標楷體" w:eastAsia="標楷體" w:hAnsi="標楷體" w:hint="eastAsia"/>
          <w:sz w:val="20"/>
          <w:szCs w:val="20"/>
        </w:rPr>
      </w:pP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一、為使本校教師成績考核委員會委員產製方式、會議運作及規範更加明確，係依據公立高級中等以下學校教師成績考核辦法第九條第六項訂定本要點。</w:t>
      </w:r>
    </w:p>
    <w:p w:rsidR="006D3C60" w:rsidRDefault="0079395D">
      <w:pPr>
        <w:spacing w:line="400" w:lineRule="exact"/>
        <w:jc w:val="both"/>
        <w:rPr>
          <w:rFonts w:ascii="標楷體" w:eastAsia="標楷體" w:hAnsi="標楷體"/>
          <w:sz w:val="28"/>
          <w:szCs w:val="28"/>
        </w:rPr>
      </w:pPr>
      <w:r>
        <w:rPr>
          <w:rFonts w:ascii="標楷體" w:eastAsia="標楷體" w:hAnsi="標楷體" w:hint="eastAsia"/>
          <w:sz w:val="28"/>
          <w:szCs w:val="28"/>
        </w:rPr>
        <w:t>二、教師成績考核會</w:t>
      </w:r>
      <w:r>
        <w:rPr>
          <w:rFonts w:ascii="標楷體" w:eastAsia="標楷體" w:hAnsi="標楷體"/>
          <w:sz w:val="28"/>
          <w:szCs w:val="28"/>
        </w:rPr>
        <w:t>(</w:t>
      </w:r>
      <w:r>
        <w:rPr>
          <w:rFonts w:ascii="標楷體" w:eastAsia="標楷體" w:hAnsi="標楷體" w:hint="eastAsia"/>
          <w:sz w:val="28"/>
          <w:szCs w:val="28"/>
        </w:rPr>
        <w:t>以下簡稱本會</w:t>
      </w:r>
      <w:r>
        <w:rPr>
          <w:rFonts w:ascii="標楷體" w:eastAsia="標楷體" w:hAnsi="標楷體"/>
          <w:sz w:val="28"/>
          <w:szCs w:val="28"/>
        </w:rPr>
        <w:t>)</w:t>
      </w:r>
      <w:r>
        <w:rPr>
          <w:rFonts w:ascii="標楷體" w:eastAsia="標楷體" w:hAnsi="標楷體" w:hint="eastAsia"/>
          <w:sz w:val="28"/>
          <w:szCs w:val="28"/>
        </w:rPr>
        <w:t>之任務如下：</w:t>
      </w:r>
    </w:p>
    <w:p w:rsidR="006D3C60" w:rsidRDefault="0079395D">
      <w:pPr>
        <w:spacing w:line="400" w:lineRule="exact"/>
        <w:ind w:left="1260" w:hanging="1260"/>
        <w:jc w:val="both"/>
        <w:rPr>
          <w:rFonts w:ascii="標楷體" w:eastAsia="標楷體" w:hAnsi="標楷體"/>
          <w:sz w:val="28"/>
          <w:szCs w:val="28"/>
        </w:rPr>
      </w:pPr>
      <w:r>
        <w:rPr>
          <w:rFonts w:ascii="標楷體" w:eastAsia="標楷體" w:hAnsi="標楷體" w:hint="eastAsia"/>
          <w:sz w:val="28"/>
          <w:szCs w:val="28"/>
        </w:rPr>
        <w:t xml:space="preserve">   （一）學校教師年終成績考核、另予成績考核及平時考核獎懲之初核或核議事項。</w:t>
      </w:r>
    </w:p>
    <w:p w:rsidR="006D3C60" w:rsidRDefault="0079395D">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（二）其他有關考核之核議事項及校長交議考核事項。</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三、本會置委員九人，主席由委員互推產生之，主席因故不能主持會議時，由委員互推一人為主席。其組成方式如下：</w:t>
      </w:r>
    </w:p>
    <w:p w:rsidR="006D3C60" w:rsidRDefault="0079395D">
      <w:pPr>
        <w:spacing w:line="400" w:lineRule="exact"/>
        <w:ind w:left="1260" w:hanging="1260"/>
        <w:jc w:val="both"/>
        <w:rPr>
          <w:rFonts w:ascii="標楷體" w:eastAsia="標楷體" w:hAnsi="標楷體"/>
          <w:sz w:val="28"/>
          <w:szCs w:val="28"/>
        </w:rPr>
      </w:pPr>
      <w:r>
        <w:rPr>
          <w:rFonts w:ascii="標楷體" w:eastAsia="標楷體" w:hAnsi="標楷體" w:hint="eastAsia"/>
          <w:sz w:val="28"/>
          <w:szCs w:val="28"/>
        </w:rPr>
        <w:t xml:space="preserve">   （一）當然委員四人：掌理教務、學生事務、輔導、人事業務之單位主管。</w:t>
      </w:r>
    </w:p>
    <w:p w:rsidR="006D3C60" w:rsidRDefault="0079395D">
      <w:pPr>
        <w:spacing w:line="400" w:lineRule="exact"/>
        <w:ind w:left="1260" w:hanging="1260"/>
        <w:jc w:val="both"/>
        <w:rPr>
          <w:rFonts w:ascii="標楷體" w:eastAsia="標楷體" w:hAnsi="標楷體"/>
          <w:sz w:val="28"/>
          <w:szCs w:val="28"/>
        </w:rPr>
      </w:pPr>
      <w:r>
        <w:rPr>
          <w:rFonts w:ascii="標楷體" w:eastAsia="標楷體" w:hAnsi="標楷體" w:hint="eastAsia"/>
          <w:sz w:val="28"/>
          <w:szCs w:val="28"/>
        </w:rPr>
        <w:t xml:space="preserve">   （二）選舉委員五人：由全體教師以無記名連記法投票選舉，惟該學年度因故申請留職停薪、延長病假或公務借調等情事致未實際在校服務者，喪失選舉權與被選舉權，但九月一日前回職復薪、銷假上班或歸建者，不在此限。每票最高得複選</w:t>
      </w:r>
      <w:r w:rsidR="00FD198E">
        <w:rPr>
          <w:rFonts w:ascii="標楷體" w:eastAsia="標楷體" w:hAnsi="標楷體" w:hint="eastAsia"/>
          <w:sz w:val="28"/>
          <w:szCs w:val="28"/>
        </w:rPr>
        <w:t>二</w:t>
      </w:r>
      <w:r>
        <w:rPr>
          <w:rFonts w:ascii="標楷體" w:eastAsia="標楷體" w:hAnsi="標楷體" w:hint="eastAsia"/>
          <w:sz w:val="28"/>
          <w:szCs w:val="28"/>
        </w:rPr>
        <w:t>人，超出複選人數以廢票論，並依得票數高低順序當選，得票數相同時，以抽籤決定之。</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本會委員中每滿三人應有一人為未兼行政教師</w:t>
      </w:r>
      <w:r>
        <w:rPr>
          <w:rFonts w:ascii="標楷體" w:eastAsia="標楷體" w:hAnsi="標楷體"/>
          <w:sz w:val="28"/>
          <w:szCs w:val="28"/>
        </w:rPr>
        <w:t>;</w:t>
      </w:r>
      <w:r>
        <w:rPr>
          <w:rFonts w:ascii="標楷體" w:eastAsia="標楷體" w:hAnsi="標楷體" w:hint="eastAsia"/>
          <w:sz w:val="28"/>
          <w:szCs w:val="28"/>
        </w:rPr>
        <w:t>未兼行政教師人數計算，應排除教師會代表。任一性別委員並應占委員總數三分之一以上。</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選舉委員得依得票數高低增列候補委員四人，於委員因故不能擔任時，依前項規定及得票數高低順序遞補之。無候補委員遞補時，應即辦理補選。</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當然委員於學期中因故免兼行政職務，由接任該項職務者遞補之，其任期至原任期屆滿之日止。</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四、本會委員任期一年，自九月一日起至翌年八月三十一日止，連選得連任。遞補之候補委員或補選產生之委員，其任期均至原任期屆滿之日止。</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五、本會委員有下列情況時喪失委員資格：</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（一）死亡。</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（二）離（辭）職。</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（三）經解聘、停聘或不續聘者。</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（四）選舉委員經本會認定無故不參加會議達二次以上者。</w:t>
      </w:r>
    </w:p>
    <w:p w:rsidR="006D3C60" w:rsidRDefault="0079395D">
      <w:pPr>
        <w:spacing w:line="400" w:lineRule="exact"/>
        <w:ind w:left="1260" w:hanging="1260"/>
        <w:jc w:val="both"/>
        <w:rPr>
          <w:rFonts w:ascii="標楷體" w:eastAsia="標楷體" w:hAnsi="標楷體"/>
          <w:sz w:val="28"/>
          <w:szCs w:val="28"/>
        </w:rPr>
      </w:pPr>
      <w:r>
        <w:rPr>
          <w:rFonts w:ascii="標楷體" w:eastAsia="標楷體" w:hAnsi="標楷體" w:hint="eastAsia"/>
          <w:sz w:val="28"/>
          <w:szCs w:val="28"/>
        </w:rPr>
        <w:t xml:space="preserve">   （五）未兼行政教師於擔任委員期間經聘兼行政職務，致未兼行政教師比例未達第三條第二項之規定者。</w:t>
      </w:r>
    </w:p>
    <w:p w:rsidR="006D3C60" w:rsidRDefault="0079395D">
      <w:pPr>
        <w:spacing w:line="400" w:lineRule="exact"/>
        <w:ind w:left="1260" w:hanging="1260"/>
        <w:jc w:val="both"/>
        <w:rPr>
          <w:rFonts w:ascii="標楷體" w:eastAsia="標楷體" w:hAnsi="標楷體"/>
          <w:sz w:val="28"/>
          <w:szCs w:val="28"/>
        </w:rPr>
      </w:pPr>
      <w:r>
        <w:rPr>
          <w:rFonts w:ascii="標楷體" w:eastAsia="標楷體" w:hAnsi="標楷體" w:hint="eastAsia"/>
          <w:sz w:val="28"/>
          <w:szCs w:val="28"/>
        </w:rPr>
        <w:t xml:space="preserve">   （六）因故申請留職停薪、延長病假或公務借調等情事致未實際在校服務者。</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六、本會會議時，須有全體委員二分之一以上出席，出席委員過半數之同意，方得為決議。但審議教師年終成績考核、另予考核及記大功、大過之平時考核時，應有全體委員三分之二以上之出席，出席委員過半數之同意，方得為決議。</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七、本會委員均為無給職，執行本項會議職務時，以公假登記。</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lastRenderedPageBreak/>
        <w:t>八、本要點未定事項，悉依公立高級中等以下學校教師成績考核辦法及其相關法令規定辦理。</w:t>
      </w:r>
    </w:p>
    <w:p w:rsidR="006D3C60" w:rsidRDefault="0079395D">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九、本辦法先經行政</w:t>
      </w:r>
      <w:r w:rsidR="004363CC">
        <w:rPr>
          <w:rFonts w:ascii="標楷體" w:eastAsia="標楷體" w:hAnsi="標楷體" w:hint="eastAsia"/>
          <w:sz w:val="28"/>
          <w:szCs w:val="28"/>
        </w:rPr>
        <w:t>主管</w:t>
      </w:r>
      <w:r>
        <w:rPr>
          <w:rFonts w:ascii="標楷體" w:eastAsia="標楷體" w:hAnsi="標楷體" w:hint="eastAsia"/>
          <w:sz w:val="28"/>
          <w:szCs w:val="28"/>
        </w:rPr>
        <w:t>會議審議後，再提交校務會議審議通過實施，修訂時亦同。</w:t>
      </w:r>
    </w:p>
    <w:sectPr w:rsidR="006D3C60">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E9" w:rsidRDefault="00FA32E9">
      <w:r>
        <w:separator/>
      </w:r>
    </w:p>
  </w:endnote>
  <w:endnote w:type="continuationSeparator" w:id="0">
    <w:p w:rsidR="00FA32E9" w:rsidRDefault="00F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E9" w:rsidRDefault="00FA32E9">
      <w:r>
        <w:separator/>
      </w:r>
    </w:p>
  </w:footnote>
  <w:footnote w:type="continuationSeparator" w:id="0">
    <w:p w:rsidR="00FA32E9" w:rsidRDefault="00FA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20B3"/>
    <w:multiLevelType w:val="hybridMultilevel"/>
    <w:tmpl w:val="40CA0B38"/>
    <w:lvl w:ilvl="0" w:tplc="ACC817AA">
      <w:start w:val="1"/>
      <w:numFmt w:val="taiwaneseCountingThousand"/>
      <w:lvlText w:val="%1、"/>
      <w:lvlJc w:val="left"/>
      <w:pPr>
        <w:ind w:left="622" w:hanging="480"/>
      </w:pPr>
      <w:rPr>
        <w:rFonts w:hint="default"/>
      </w:rPr>
    </w:lvl>
    <w:lvl w:ilvl="1" w:tplc="4086B382">
      <w:start w:val="1"/>
      <w:numFmt w:val="ideographTraditional"/>
      <w:lvlText w:val="%2、"/>
      <w:lvlJc w:val="left"/>
      <w:pPr>
        <w:ind w:left="1102" w:hanging="480"/>
      </w:pPr>
    </w:lvl>
    <w:lvl w:ilvl="2" w:tplc="01F69DF2">
      <w:start w:val="1"/>
      <w:numFmt w:val="lowerRoman"/>
      <w:lvlText w:val="%3."/>
      <w:lvlJc w:val="right"/>
      <w:pPr>
        <w:ind w:left="1582" w:hanging="480"/>
      </w:pPr>
    </w:lvl>
    <w:lvl w:ilvl="3" w:tplc="CC94C7EA">
      <w:start w:val="1"/>
      <w:numFmt w:val="decimal"/>
      <w:lvlText w:val="%4."/>
      <w:lvlJc w:val="left"/>
      <w:pPr>
        <w:ind w:left="2062" w:hanging="480"/>
      </w:pPr>
    </w:lvl>
    <w:lvl w:ilvl="4" w:tplc="13C23E58">
      <w:start w:val="1"/>
      <w:numFmt w:val="ideographTraditional"/>
      <w:lvlText w:val="%5、"/>
      <w:lvlJc w:val="left"/>
      <w:pPr>
        <w:ind w:left="2542" w:hanging="480"/>
      </w:pPr>
    </w:lvl>
    <w:lvl w:ilvl="5" w:tplc="43661A9A">
      <w:start w:val="1"/>
      <w:numFmt w:val="lowerRoman"/>
      <w:lvlText w:val="%6."/>
      <w:lvlJc w:val="right"/>
      <w:pPr>
        <w:ind w:left="3022" w:hanging="480"/>
      </w:pPr>
    </w:lvl>
    <w:lvl w:ilvl="6" w:tplc="DA8844CA">
      <w:start w:val="1"/>
      <w:numFmt w:val="decimal"/>
      <w:lvlText w:val="%7."/>
      <w:lvlJc w:val="left"/>
      <w:pPr>
        <w:ind w:left="3502" w:hanging="480"/>
      </w:pPr>
    </w:lvl>
    <w:lvl w:ilvl="7" w:tplc="8FD2F6E4">
      <w:start w:val="1"/>
      <w:numFmt w:val="ideographTraditional"/>
      <w:lvlText w:val="%8、"/>
      <w:lvlJc w:val="left"/>
      <w:pPr>
        <w:ind w:left="3982" w:hanging="480"/>
      </w:pPr>
    </w:lvl>
    <w:lvl w:ilvl="8" w:tplc="2D7E9400">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0"/>
    <w:rsid w:val="004363CC"/>
    <w:rsid w:val="006D3C60"/>
    <w:rsid w:val="0079395D"/>
    <w:rsid w:val="00CD7356"/>
    <w:rsid w:val="00FA32E9"/>
    <w:rsid w:val="00FD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9A2BF-AAB9-4377-97D2-2773E3F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Arial" w:eastAsia="Arial" w:hAnsi="Arial" w:cs="Arial"/>
      <w:sz w:val="40"/>
      <w:szCs w:val="40"/>
    </w:rPr>
  </w:style>
  <w:style w:type="character" w:customStyle="1" w:styleId="20">
    <w:name w:val="標題 2 字元"/>
    <w:basedOn w:val="a0"/>
    <w:link w:val="2"/>
    <w:uiPriority w:val="9"/>
    <w:rPr>
      <w:rFonts w:ascii="Arial" w:eastAsia="Arial" w:hAnsi="Arial" w:cs="Arial"/>
      <w:sz w:val="34"/>
    </w:rPr>
  </w:style>
  <w:style w:type="character" w:customStyle="1" w:styleId="30">
    <w:name w:val="標題 3 字元"/>
    <w:basedOn w:val="a0"/>
    <w:link w:val="3"/>
    <w:uiPriority w:val="9"/>
    <w:rPr>
      <w:rFonts w:ascii="Arial" w:eastAsia="Arial" w:hAnsi="Arial" w:cs="Arial"/>
      <w:sz w:val="30"/>
      <w:szCs w:val="30"/>
    </w:rPr>
  </w:style>
  <w:style w:type="character" w:customStyle="1" w:styleId="40">
    <w:name w:val="標題 4 字元"/>
    <w:basedOn w:val="a0"/>
    <w:link w:val="4"/>
    <w:uiPriority w:val="9"/>
    <w:rPr>
      <w:rFonts w:ascii="Arial" w:eastAsia="Arial" w:hAnsi="Arial" w:cs="Arial"/>
      <w:b/>
      <w:bCs/>
      <w:sz w:val="26"/>
      <w:szCs w:val="26"/>
    </w:rPr>
  </w:style>
  <w:style w:type="character" w:customStyle="1" w:styleId="50">
    <w:name w:val="標題 5 字元"/>
    <w:basedOn w:val="a0"/>
    <w:link w:val="5"/>
    <w:uiPriority w:val="9"/>
    <w:rPr>
      <w:rFonts w:ascii="Arial" w:eastAsia="Arial" w:hAnsi="Arial" w:cs="Arial"/>
      <w:b/>
      <w:bCs/>
      <w:sz w:val="24"/>
      <w:szCs w:val="24"/>
    </w:rPr>
  </w:style>
  <w:style w:type="character" w:customStyle="1" w:styleId="60">
    <w:name w:val="標題 6 字元"/>
    <w:basedOn w:val="a0"/>
    <w:link w:val="6"/>
    <w:uiPriority w:val="9"/>
    <w:rPr>
      <w:rFonts w:ascii="Arial" w:eastAsia="Arial" w:hAnsi="Arial" w:cs="Arial"/>
      <w:b/>
      <w:bCs/>
      <w:sz w:val="22"/>
      <w:szCs w:val="22"/>
    </w:rPr>
  </w:style>
  <w:style w:type="character" w:customStyle="1" w:styleId="70">
    <w:name w:val="標題 7 字元"/>
    <w:basedOn w:val="a0"/>
    <w:link w:val="7"/>
    <w:uiPriority w:val="9"/>
    <w:rPr>
      <w:rFonts w:ascii="Arial" w:eastAsia="Arial" w:hAnsi="Arial" w:cs="Arial"/>
      <w:b/>
      <w:bCs/>
      <w:i/>
      <w:iCs/>
      <w:sz w:val="22"/>
      <w:szCs w:val="22"/>
    </w:rPr>
  </w:style>
  <w:style w:type="character" w:customStyle="1" w:styleId="80">
    <w:name w:val="標題 8 字元"/>
    <w:basedOn w:val="a0"/>
    <w:link w:val="8"/>
    <w:uiPriority w:val="9"/>
    <w:rPr>
      <w:rFonts w:ascii="Arial" w:eastAsia="Arial" w:hAnsi="Arial" w:cs="Arial"/>
      <w:i/>
      <w:iCs/>
      <w:sz w:val="22"/>
      <w:szCs w:val="22"/>
    </w:rPr>
  </w:style>
  <w:style w:type="character" w:customStyle="1" w:styleId="90">
    <w:name w:val="標題 9 字元"/>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標題 字元"/>
    <w:basedOn w:val="a0"/>
    <w:link w:val="a4"/>
    <w:uiPriority w:val="10"/>
    <w:rPr>
      <w:sz w:val="48"/>
      <w:szCs w:val="48"/>
    </w:rPr>
  </w:style>
  <w:style w:type="paragraph" w:styleId="a6">
    <w:name w:val="Subtitle"/>
    <w:basedOn w:val="a"/>
    <w:next w:val="a"/>
    <w:link w:val="a7"/>
    <w:uiPriority w:val="11"/>
    <w:qFormat/>
    <w:pPr>
      <w:spacing w:before="200" w:after="200"/>
    </w:pPr>
    <w:rPr>
      <w:szCs w:val="24"/>
    </w:rPr>
  </w:style>
  <w:style w:type="character" w:customStyle="1" w:styleId="a7">
    <w:name w:val="副標題 字元"/>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引文 字元"/>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鮮明引文 字元"/>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3">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註腳文字 字元"/>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章節附註文字 字元"/>
    <w:link w:val="af2"/>
    <w:uiPriority w:val="99"/>
    <w:rPr>
      <w:sz w:val="20"/>
    </w:rPr>
  </w:style>
  <w:style w:type="character" w:styleId="af4">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styleId="af7">
    <w:name w:val="List Paragraph"/>
    <w:basedOn w:val="a"/>
    <w:uiPriority w:val="34"/>
    <w:qFormat/>
    <w:pPr>
      <w:ind w:left="480"/>
    </w:pPr>
  </w:style>
  <w:style w:type="paragraph" w:styleId="af8">
    <w:name w:val="header"/>
    <w:basedOn w:val="a"/>
    <w:link w:val="af9"/>
    <w:uiPriority w:val="99"/>
    <w:unhideWhenUsed/>
    <w:pPr>
      <w:tabs>
        <w:tab w:val="center" w:pos="4153"/>
        <w:tab w:val="right" w:pos="8306"/>
      </w:tabs>
    </w:pPr>
    <w:rPr>
      <w:sz w:val="20"/>
      <w:szCs w:val="20"/>
    </w:rPr>
  </w:style>
  <w:style w:type="character" w:customStyle="1" w:styleId="af9">
    <w:name w:val="頁首 字元"/>
    <w:basedOn w:val="a0"/>
    <w:link w:val="af8"/>
    <w:uiPriority w:val="99"/>
    <w:rPr>
      <w:sz w:val="20"/>
      <w:szCs w:val="20"/>
    </w:rPr>
  </w:style>
  <w:style w:type="paragraph" w:styleId="afa">
    <w:name w:val="footer"/>
    <w:basedOn w:val="a"/>
    <w:link w:val="afb"/>
    <w:uiPriority w:val="99"/>
    <w:unhideWhenUsed/>
    <w:pPr>
      <w:tabs>
        <w:tab w:val="center" w:pos="4153"/>
        <w:tab w:val="right" w:pos="8306"/>
      </w:tabs>
    </w:pPr>
    <w:rPr>
      <w:sz w:val="20"/>
      <w:szCs w:val="20"/>
    </w:rPr>
  </w:style>
  <w:style w:type="character" w:customStyle="1" w:styleId="afb">
    <w:name w:val="頁尾 字元"/>
    <w:basedOn w:val="a0"/>
    <w:link w:val="afa"/>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Arial"/>
      </a:majorFont>
      <a:minorFont>
        <a:latin typeface="Calibri"/>
        <a:ea typeface="新細明體"/>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人事</cp:lastModifiedBy>
  <cp:revision>5</cp:revision>
  <dcterms:created xsi:type="dcterms:W3CDTF">2023-06-19T07:56:00Z</dcterms:created>
  <dcterms:modified xsi:type="dcterms:W3CDTF">2023-06-19T08:01:00Z</dcterms:modified>
</cp:coreProperties>
</file>