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6A" w:rsidRDefault="002E2C93">
      <w:pPr>
        <w:pStyle w:val="afc"/>
        <w:spacing w:line="300" w:lineRule="exact"/>
        <w:jc w:val="center"/>
        <w:rPr>
          <w:rFonts w:ascii="標楷體" w:eastAsia="標楷體"/>
          <w:b/>
          <w:sz w:val="32"/>
          <w:szCs w:val="32"/>
        </w:rPr>
      </w:pPr>
      <w:r>
        <w:rPr>
          <w:rFonts w:ascii="標楷體" w:eastAsia="標楷體" w:hint="eastAsia"/>
          <w:b/>
          <w:sz w:val="32"/>
          <w:szCs w:val="32"/>
        </w:rPr>
        <w:t>嘉義縣立</w:t>
      </w:r>
      <w:r w:rsidR="00AC709E">
        <w:rPr>
          <w:rFonts w:ascii="標楷體" w:eastAsia="標楷體" w:hint="eastAsia"/>
          <w:b/>
          <w:sz w:val="32"/>
          <w:szCs w:val="32"/>
        </w:rPr>
        <w:t>阿里山國民中小</w:t>
      </w:r>
      <w:r>
        <w:rPr>
          <w:rFonts w:ascii="標楷體" w:eastAsia="標楷體" w:hint="eastAsia"/>
          <w:b/>
          <w:sz w:val="32"/>
          <w:szCs w:val="32"/>
        </w:rPr>
        <w:t>學代理代課及兼任教師聘約</w:t>
      </w:r>
      <w:r>
        <w:rPr>
          <w:rFonts w:ascii="標楷體" w:eastAsia="標楷體" w:hAnsi="標楷體" w:hint="eastAsia"/>
          <w:b/>
          <w:sz w:val="32"/>
          <w:szCs w:val="32"/>
        </w:rPr>
        <w:t>（草案）</w:t>
      </w:r>
    </w:p>
    <w:p w:rsidR="00A9406A" w:rsidRDefault="002E2C93">
      <w:pPr>
        <w:pStyle w:val="afc"/>
        <w:spacing w:line="300" w:lineRule="exact"/>
        <w:jc w:val="center"/>
        <w:rPr>
          <w:rFonts w:ascii="標楷體" w:eastAsia="標楷體"/>
          <w:b/>
          <w:sz w:val="16"/>
          <w:szCs w:val="16"/>
        </w:rPr>
      </w:pPr>
      <w:r>
        <w:rPr>
          <w:rFonts w:ascii="標楷體" w:eastAsia="標楷體" w:hint="eastAsia"/>
          <w:b/>
          <w:sz w:val="32"/>
          <w:szCs w:val="32"/>
        </w:rPr>
        <w:t xml:space="preserve">                               </w:t>
      </w:r>
    </w:p>
    <w:p w:rsidR="00A9406A" w:rsidRDefault="002E2C93">
      <w:pPr>
        <w:pStyle w:val="afc"/>
        <w:spacing w:line="200" w:lineRule="exact"/>
        <w:ind w:left="6480" w:hanging="6480"/>
        <w:rPr>
          <w:rFonts w:ascii="標楷體" w:eastAsia="標楷體" w:hAnsi="標楷體"/>
          <w:sz w:val="16"/>
          <w:szCs w:val="16"/>
        </w:rPr>
      </w:pPr>
      <w:r>
        <w:rPr>
          <w:rFonts w:ascii="標楷體" w:eastAsia="標楷體" w:hAnsi="標楷體" w:hint="eastAsia"/>
          <w:sz w:val="16"/>
          <w:szCs w:val="16"/>
        </w:rPr>
        <w:t xml:space="preserve">                                                    </w:t>
      </w:r>
      <w:bookmarkStart w:id="0" w:name="_GoBack"/>
      <w:bookmarkEnd w:id="0"/>
      <w:r>
        <w:rPr>
          <w:rFonts w:ascii="標楷體" w:eastAsia="標楷體" w:hAnsi="標楷體" w:hint="eastAsia"/>
          <w:sz w:val="16"/>
          <w:szCs w:val="16"/>
        </w:rPr>
        <w:t xml:space="preserve">      </w:t>
      </w:r>
      <w:r w:rsidRPr="00AC709E">
        <w:rPr>
          <w:rFonts w:ascii="標楷體" w:eastAsia="標楷體" w:hAnsi="標楷體" w:hint="eastAsia"/>
          <w:sz w:val="16"/>
          <w:szCs w:val="16"/>
        </w:rPr>
        <w:t xml:space="preserve"> 112</w:t>
      </w:r>
      <w:r>
        <w:rPr>
          <w:rFonts w:ascii="標楷體" w:eastAsia="標楷體" w:hAnsi="標楷體" w:hint="eastAsia"/>
          <w:sz w:val="16"/>
          <w:szCs w:val="16"/>
        </w:rPr>
        <w:t>年</w:t>
      </w:r>
      <w:r w:rsidR="00AC709E">
        <w:rPr>
          <w:rFonts w:ascii="標楷體" w:eastAsia="標楷體" w:hAnsi="標楷體" w:hint="eastAsia"/>
          <w:sz w:val="16"/>
          <w:szCs w:val="16"/>
        </w:rPr>
        <w:t>6</w:t>
      </w:r>
      <w:r>
        <w:rPr>
          <w:rFonts w:ascii="標楷體" w:eastAsia="標楷體" w:hAnsi="標楷體" w:hint="eastAsia"/>
          <w:sz w:val="16"/>
          <w:szCs w:val="16"/>
        </w:rPr>
        <w:t>月</w:t>
      </w:r>
      <w:r w:rsidR="00AC709E">
        <w:rPr>
          <w:rFonts w:ascii="標楷體" w:eastAsia="標楷體" w:hAnsi="標楷體" w:hint="eastAsia"/>
          <w:sz w:val="16"/>
          <w:szCs w:val="16"/>
        </w:rPr>
        <w:t>28</w:t>
      </w:r>
      <w:r>
        <w:rPr>
          <w:rFonts w:ascii="標楷體" w:eastAsia="標楷體" w:hAnsi="標楷體" w:hint="eastAsia"/>
          <w:sz w:val="16"/>
          <w:szCs w:val="16"/>
        </w:rPr>
        <w:t>日期末校務會議修正通過並自112年8月1日起生效。</w:t>
      </w:r>
    </w:p>
    <w:p w:rsidR="00AC709E" w:rsidRDefault="00AC709E">
      <w:pPr>
        <w:pStyle w:val="afc"/>
        <w:spacing w:line="200" w:lineRule="exact"/>
        <w:ind w:left="6480" w:hanging="6480"/>
        <w:rPr>
          <w:rFonts w:ascii="標楷體" w:eastAsia="標楷體" w:hAnsi="標楷體"/>
          <w:sz w:val="16"/>
          <w:szCs w:val="16"/>
        </w:rPr>
      </w:pPr>
    </w:p>
    <w:p w:rsidR="00A9406A" w:rsidRDefault="002E2C93">
      <w:pPr>
        <w:pStyle w:val="afc"/>
        <w:spacing w:line="260" w:lineRule="exact"/>
        <w:ind w:left="720" w:hanging="720"/>
        <w:jc w:val="both"/>
        <w:rPr>
          <w:rFonts w:ascii="標楷體" w:eastAsia="標楷體"/>
        </w:rPr>
      </w:pPr>
      <w:r>
        <w:rPr>
          <w:rFonts w:ascii="標楷體" w:eastAsia="標楷體" w:hint="eastAsia"/>
        </w:rPr>
        <w:t xml:space="preserve">  一</w:t>
      </w:r>
      <w:r>
        <w:rPr>
          <w:rFonts w:ascii="標楷體" w:eastAsia="標楷體" w:hAnsi="標楷體" w:hint="eastAsia"/>
        </w:rPr>
        <w:t>、</w:t>
      </w:r>
      <w:r>
        <w:rPr>
          <w:rFonts w:ascii="標楷體" w:eastAsia="標楷體" w:hint="eastAsia"/>
        </w:rPr>
        <w:t>代理</w:t>
      </w:r>
      <w:r>
        <w:rPr>
          <w:rFonts w:ascii="標楷體" w:eastAsia="標楷體" w:hAnsi="標楷體" w:hint="eastAsia"/>
        </w:rPr>
        <w:t>、</w:t>
      </w:r>
      <w:r>
        <w:rPr>
          <w:rFonts w:ascii="標楷體" w:eastAsia="標楷體" w:hint="eastAsia"/>
        </w:rPr>
        <w:t>代課及兼任教師</w:t>
      </w:r>
      <w:r>
        <w:rPr>
          <w:rFonts w:ascii="標楷體" w:eastAsia="標楷體" w:hAnsi="標楷體" w:hint="eastAsia"/>
        </w:rPr>
        <w:t>（下稱教師)</w:t>
      </w:r>
      <w:r>
        <w:rPr>
          <w:rFonts w:ascii="標楷體" w:eastAsia="標楷體" w:hint="eastAsia"/>
        </w:rPr>
        <w:t>之聘任、權利義務、待遇、進修研究、退休、撫卹、離職、資遣、保險、申訴及訴訟，得依</w:t>
      </w:r>
      <w:r>
        <w:rPr>
          <w:rFonts w:ascii="標楷體" w:eastAsia="標楷體" w:hAnsi="標楷體"/>
        </w:rPr>
        <w:t>高級中等以下學校兼任代課及代理教師聘任辦法</w:t>
      </w:r>
      <w:r>
        <w:rPr>
          <w:rFonts w:ascii="標楷體" w:eastAsia="標楷體" w:hAnsi="標楷體" w:hint="eastAsia"/>
        </w:rPr>
        <w:t>、（下稱</w:t>
      </w:r>
      <w:r>
        <w:rPr>
          <w:rFonts w:ascii="標楷體" w:eastAsia="標楷體" w:hAnsi="標楷體"/>
        </w:rPr>
        <w:t>兼任代課及代理教師聘任辦法</w:t>
      </w:r>
      <w:r>
        <w:rPr>
          <w:rFonts w:ascii="標楷體" w:eastAsia="標楷體" w:hAnsi="標楷體" w:hint="eastAsia"/>
        </w:rPr>
        <w:t>)、</w:t>
      </w:r>
      <w:r>
        <w:rPr>
          <w:rFonts w:ascii="標楷體" w:eastAsia="標楷體" w:hAnsi="標楷體" w:cs="細明體"/>
          <w:lang w:val="zh-TW"/>
        </w:rPr>
        <w:t>高級中等以下學校教師解聘不續聘停聘或資遣辦法</w:t>
      </w:r>
      <w:r>
        <w:rPr>
          <w:rFonts w:ascii="標楷體" w:eastAsia="標楷體" w:hAnsi="標楷體" w:cs="細明體" w:hint="eastAsia"/>
          <w:color w:val="000000"/>
          <w:lang w:val="zh-TW"/>
        </w:rPr>
        <w:t>、</w:t>
      </w:r>
      <w:r>
        <w:rPr>
          <w:rFonts w:ascii="標楷體" w:eastAsia="標楷體" w:hAnsi="標楷體" w:hint="eastAsia"/>
        </w:rPr>
        <w:t>勞工保險條例、勞工退休金條例、嘉義縣中小學兼任代課代理及教學支援工作人員聘任補充規定及教育人員任用條例等相</w:t>
      </w:r>
      <w:r>
        <w:rPr>
          <w:rFonts w:ascii="標楷體" w:eastAsia="標楷體" w:hint="eastAsia"/>
        </w:rPr>
        <w:t>關規定辦理。</w:t>
      </w:r>
    </w:p>
    <w:p w:rsidR="00A9406A" w:rsidRDefault="002E2C93">
      <w:pPr>
        <w:pStyle w:val="afc"/>
        <w:spacing w:line="260" w:lineRule="exact"/>
        <w:ind w:left="720" w:hanging="720"/>
        <w:jc w:val="both"/>
        <w:rPr>
          <w:rFonts w:ascii="標楷體" w:eastAsia="標楷體" w:hAnsi="標楷體"/>
          <w:color w:val="FF0000"/>
        </w:rPr>
      </w:pPr>
      <w:r>
        <w:rPr>
          <w:rFonts w:ascii="標楷體" w:eastAsia="標楷體" w:hint="eastAsia"/>
          <w:color w:val="FF0000"/>
        </w:rPr>
        <w:t xml:space="preserve">  二</w:t>
      </w:r>
      <w:r>
        <w:rPr>
          <w:rFonts w:ascii="標楷體" w:eastAsia="標楷體" w:hAnsi="標楷體" w:hint="eastAsia"/>
          <w:color w:val="FF0000"/>
        </w:rPr>
        <w:t>、</w:t>
      </w:r>
      <w:r>
        <w:rPr>
          <w:rFonts w:ascii="標楷體" w:eastAsia="標楷體" w:hint="eastAsia"/>
          <w:color w:val="FF0000"/>
        </w:rPr>
        <w:t>聘期三個月以上代理教師之出勤及給假</w:t>
      </w:r>
      <w:r>
        <w:rPr>
          <w:rFonts w:ascii="標楷體" w:eastAsia="標楷體" w:hAnsi="標楷體" w:hint="eastAsia"/>
          <w:color w:val="FF0000"/>
        </w:rPr>
        <w:t>，按嘉義縣中小學兼任代課代理及教學支援工作人員聘任補充規定辦理，育嬰留職停薪之申請，準用育嬰留職停薪實施辦法。但育嬰留職停薪之期間，應以原聘約訖日為限。</w:t>
      </w:r>
    </w:p>
    <w:p w:rsidR="00A9406A" w:rsidRDefault="002E2C93">
      <w:pPr>
        <w:pStyle w:val="afc"/>
        <w:spacing w:line="260" w:lineRule="exact"/>
        <w:ind w:left="720" w:hanging="720"/>
        <w:jc w:val="both"/>
        <w:rPr>
          <w:rFonts w:ascii="標楷體" w:eastAsia="標楷體" w:hAnsi="標楷體"/>
          <w:color w:val="FF0000"/>
        </w:rPr>
      </w:pPr>
      <w:r>
        <w:rPr>
          <w:rFonts w:ascii="標楷體" w:eastAsia="標楷體" w:hAnsi="標楷體" w:hint="eastAsia"/>
          <w:color w:val="FF0000"/>
        </w:rPr>
        <w:t xml:space="preserve">  三、原編制內教師於差假、留職停薪、兵役或借調期間，因故申請提前復職，致原代理及代課原因消滅時，學校始得終止聘約。但應於終止聘約日二十日前通知代課及代理教師。</w:t>
      </w:r>
    </w:p>
    <w:p w:rsidR="00A9406A" w:rsidRDefault="002E2C93">
      <w:pPr>
        <w:pStyle w:val="afc"/>
        <w:spacing w:line="260" w:lineRule="exact"/>
        <w:jc w:val="both"/>
        <w:rPr>
          <w:rFonts w:ascii="標楷體" w:eastAsia="標楷體"/>
        </w:rPr>
      </w:pPr>
      <w:r>
        <w:rPr>
          <w:rFonts w:ascii="標楷體" w:eastAsia="標楷體" w:hint="eastAsia"/>
        </w:rPr>
        <w:t xml:space="preserve">  四、教師應恪遵教育宗旨及相關法令，為學生表率。</w:t>
      </w:r>
    </w:p>
    <w:p w:rsidR="00A9406A" w:rsidRDefault="002E2C93">
      <w:pPr>
        <w:pStyle w:val="afc"/>
        <w:spacing w:line="260" w:lineRule="exact"/>
        <w:ind w:firstLine="240"/>
        <w:jc w:val="both"/>
        <w:rPr>
          <w:rFonts w:ascii="標楷體" w:eastAsia="標楷體"/>
        </w:rPr>
      </w:pPr>
      <w:r>
        <w:rPr>
          <w:rFonts w:ascii="標楷體" w:eastAsia="標楷體" w:hint="eastAsia"/>
        </w:rPr>
        <w:t>五、教師於校園內及教學中，立場應保持中立，不得為特定政黨、宗教、種族做宣傳。</w:t>
      </w:r>
    </w:p>
    <w:p w:rsidR="00A9406A" w:rsidRDefault="002E2C93">
      <w:pPr>
        <w:pStyle w:val="afc"/>
        <w:spacing w:line="260" w:lineRule="exact"/>
        <w:ind w:left="720" w:hanging="720"/>
        <w:jc w:val="both"/>
        <w:rPr>
          <w:rFonts w:ascii="標楷體" w:eastAsia="標楷體" w:hAnsi="標楷體"/>
        </w:rPr>
      </w:pPr>
      <w:r>
        <w:rPr>
          <w:rFonts w:ascii="標楷體" w:eastAsia="標楷體" w:hint="eastAsia"/>
        </w:rPr>
        <w:t xml:space="preserve">  六、</w:t>
      </w:r>
      <w:r>
        <w:rPr>
          <w:rFonts w:ascii="標楷體" w:eastAsia="標楷體" w:hAnsi="標楷體" w:hint="eastAsia"/>
        </w:rPr>
        <w:t>教師除應遵守法令履行聘約外，應負有</w:t>
      </w:r>
      <w:r>
        <w:rPr>
          <w:rFonts w:ascii="標楷體" w:eastAsia="標楷體" w:hAnsi="標楷體"/>
        </w:rPr>
        <w:t>兼任代課及代理教師聘任辦法</w:t>
      </w:r>
      <w:r>
        <w:rPr>
          <w:rFonts w:ascii="標楷體" w:eastAsia="標楷體" w:hAnsi="標楷體" w:hint="eastAsia"/>
        </w:rPr>
        <w:t>第15條相關義務事項之規定。</w:t>
      </w:r>
    </w:p>
    <w:p w:rsidR="00A9406A" w:rsidRDefault="002E2C93">
      <w:pPr>
        <w:pStyle w:val="afc"/>
        <w:spacing w:line="260" w:lineRule="exact"/>
        <w:ind w:firstLine="240"/>
        <w:jc w:val="both"/>
        <w:rPr>
          <w:rFonts w:ascii="標楷體" w:eastAsia="標楷體"/>
        </w:rPr>
      </w:pPr>
      <w:r>
        <w:rPr>
          <w:rFonts w:ascii="標楷體" w:eastAsia="標楷體" w:hint="eastAsia"/>
        </w:rPr>
        <w:t>七、教師對全校學生應共負訓導、輔導責任，並以身作則。</w:t>
      </w:r>
    </w:p>
    <w:p w:rsidR="00A9406A" w:rsidRDefault="002E2C93">
      <w:pPr>
        <w:pStyle w:val="afc"/>
        <w:spacing w:line="260" w:lineRule="exact"/>
        <w:ind w:firstLine="240"/>
        <w:jc w:val="both"/>
        <w:rPr>
          <w:rFonts w:ascii="標楷體" w:eastAsia="標楷體"/>
        </w:rPr>
      </w:pPr>
      <w:r>
        <w:rPr>
          <w:rFonts w:ascii="標楷體" w:eastAsia="標楷體" w:hint="eastAsia"/>
        </w:rPr>
        <w:t>八、教師應接受指派參加各項會議、研習等活動。</w:t>
      </w:r>
    </w:p>
    <w:p w:rsidR="00A9406A" w:rsidRDefault="002E2C93">
      <w:pPr>
        <w:pStyle w:val="afc"/>
        <w:spacing w:line="260" w:lineRule="exact"/>
        <w:ind w:left="720" w:hanging="480"/>
        <w:jc w:val="both"/>
        <w:rPr>
          <w:rFonts w:ascii="標楷體" w:eastAsia="標楷體"/>
        </w:rPr>
      </w:pPr>
      <w:r>
        <w:rPr>
          <w:rFonts w:ascii="標楷體" w:eastAsia="標楷體" w:hint="eastAsia"/>
        </w:rPr>
        <w:t>九、教師應依照學校安排之課程按時上課，不得遲到、早退或曠課。其因差假所遺之課務，應依</w:t>
      </w:r>
      <w:r>
        <w:rPr>
          <w:rFonts w:ascii="標楷體" w:eastAsia="標楷體" w:hAnsi="標楷體" w:hint="eastAsia"/>
        </w:rPr>
        <w:t>嘉義縣高級中等以下學校教師請假之調補課代理代課規定辦理</w:t>
      </w:r>
      <w:r>
        <w:rPr>
          <w:rFonts w:ascii="標楷體" w:eastAsia="標楷體" w:hint="eastAsia"/>
        </w:rPr>
        <w:t>。</w:t>
      </w:r>
    </w:p>
    <w:p w:rsidR="00A9406A" w:rsidRDefault="002E2C93">
      <w:pPr>
        <w:pStyle w:val="afc"/>
        <w:spacing w:line="260" w:lineRule="exact"/>
        <w:ind w:left="720" w:hanging="480"/>
        <w:jc w:val="both"/>
        <w:rPr>
          <w:rFonts w:ascii="標楷體" w:eastAsia="標楷體"/>
        </w:rPr>
      </w:pPr>
      <w:r>
        <w:rPr>
          <w:rFonts w:ascii="標楷體" w:eastAsia="標楷體" w:hint="eastAsia"/>
        </w:rPr>
        <w:t>十、教師對於教學，應事先充分準備、熟諳教材教法、注意教室管理、認真批改作業、加強平時考查，並確實指導實驗或實習。</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十一、教師以任教聘約所訂科目為原則，但學校基於實際需要安排搭配其他科目課程，仍應接受。</w:t>
      </w:r>
    </w:p>
    <w:p w:rsidR="00A9406A" w:rsidRDefault="002E2C93">
      <w:pPr>
        <w:pStyle w:val="afc"/>
        <w:spacing w:line="260" w:lineRule="exact"/>
        <w:ind w:left="960" w:hanging="960"/>
        <w:jc w:val="both"/>
        <w:rPr>
          <w:rFonts w:ascii="標楷體" w:eastAsia="標楷體" w:hAnsi="標楷體"/>
        </w:rPr>
      </w:pPr>
      <w:r>
        <w:rPr>
          <w:rFonts w:ascii="標楷體" w:eastAsia="標楷體" w:hint="eastAsia"/>
        </w:rPr>
        <w:t xml:space="preserve">  十二、</w:t>
      </w:r>
      <w:r>
        <w:rPr>
          <w:rFonts w:ascii="標楷體" w:eastAsia="標楷體" w:hAnsi="標楷體" w:hint="eastAsia"/>
        </w:rPr>
        <w:t>教師接受聘任後，依有關法令及學校章則之規定，並享有</w:t>
      </w:r>
      <w:r>
        <w:rPr>
          <w:rFonts w:ascii="標楷體" w:eastAsia="標楷體" w:hAnsi="標楷體"/>
        </w:rPr>
        <w:t>兼任代課及代理教師聘任辦法</w:t>
      </w:r>
      <w:r>
        <w:rPr>
          <w:rFonts w:ascii="標楷體" w:eastAsia="標楷體" w:hAnsi="標楷體" w:hint="eastAsia"/>
        </w:rPr>
        <w:t>第14條所列權利事項。</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十三、教師不得私自為學生收費補習、誘使學生參加校外補習，巧利名目向學生收取費用及推銷書刊用品。</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十四、教師擬於聘約期限屆滿後，不再應聘時，應於聘約屆滿一個月前書面通知學校，始得離職。</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十五</w:t>
      </w:r>
      <w:r>
        <w:rPr>
          <w:rFonts w:ascii="標楷體" w:eastAsia="標楷體" w:hAnsi="標楷體" w:hint="eastAsia"/>
        </w:rPr>
        <w:t>、教師</w:t>
      </w:r>
      <w:r>
        <w:rPr>
          <w:rFonts w:ascii="標楷體" w:eastAsia="標楷體" w:hAnsi="標楷體"/>
        </w:rPr>
        <w:t>之待遇</w:t>
      </w:r>
      <w:r>
        <w:rPr>
          <w:rFonts w:ascii="標楷體" w:eastAsia="標楷體" w:hAnsi="標楷體" w:hint="eastAsia"/>
        </w:rPr>
        <w:t>按</w:t>
      </w:r>
      <w:r>
        <w:rPr>
          <w:rFonts w:ascii="標楷體" w:eastAsia="標楷體" w:hAnsi="標楷體"/>
        </w:rPr>
        <w:t>兼任代課及代理教師聘任辦法</w:t>
      </w:r>
      <w:r>
        <w:rPr>
          <w:rFonts w:ascii="標楷體" w:eastAsia="標楷體" w:hAnsi="標楷體" w:hint="eastAsia"/>
        </w:rPr>
        <w:t>第16條規定辦理。</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十六、</w:t>
      </w:r>
      <w:r>
        <w:rPr>
          <w:rFonts w:ascii="標楷體" w:eastAsia="標楷體" w:hAnsi="標楷體" w:cs="細明體" w:hint="eastAsia"/>
        </w:rPr>
        <w:t>教師如有</w:t>
      </w:r>
      <w:r>
        <w:rPr>
          <w:rFonts w:ascii="標楷體" w:eastAsia="標楷體" w:hAnsi="標楷體"/>
        </w:rPr>
        <w:t>兼任代課及代理教師聘任辦法</w:t>
      </w:r>
      <w:r>
        <w:rPr>
          <w:rFonts w:ascii="標楷體" w:eastAsia="標楷體" w:hAnsi="標楷體" w:hint="eastAsia"/>
        </w:rPr>
        <w:t>第6條、第7條及第8條所規定情事者，</w:t>
      </w:r>
      <w:r>
        <w:rPr>
          <w:rFonts w:ascii="標楷體" w:eastAsia="標楷體" w:hAnsi="標楷體"/>
        </w:rPr>
        <w:t>應予終止聘約</w:t>
      </w:r>
      <w:r>
        <w:rPr>
          <w:rFonts w:ascii="標楷體" w:eastAsia="標楷體" w:hAnsi="標楷體" w:cs="新細明體" w:hint="eastAsia"/>
        </w:rPr>
        <w:t>。</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w:t>
      </w:r>
      <w:r>
        <w:rPr>
          <w:rFonts w:ascii="標楷體" w:eastAsia="標楷體" w:hAnsi="標楷體" w:cs="新細明體" w:hint="eastAsia"/>
        </w:rPr>
        <w:t>十七、</w:t>
      </w:r>
      <w:r>
        <w:rPr>
          <w:rFonts w:ascii="標楷體" w:eastAsia="標楷體" w:hAnsi="標楷體" w:cs="細明體" w:hint="eastAsia"/>
        </w:rPr>
        <w:t>教師疑似有</w:t>
      </w:r>
      <w:r>
        <w:rPr>
          <w:rFonts w:ascii="標楷體" w:eastAsia="標楷體" w:hAnsi="標楷體"/>
        </w:rPr>
        <w:t>兼任代課及代理教師聘任辦法</w:t>
      </w:r>
      <w:r>
        <w:rPr>
          <w:rFonts w:ascii="標楷體" w:eastAsia="標楷體" w:hAnsi="標楷體" w:hint="eastAsia"/>
        </w:rPr>
        <w:t>第6條、第7條及第8條所規定情事者，倘確有組成相關調查委員會調查之需，參照</w:t>
      </w:r>
      <w:r>
        <w:rPr>
          <w:rFonts w:ascii="標楷體" w:eastAsia="標楷體" w:hAnsi="標楷體" w:cs="細明體"/>
          <w:lang w:val="zh-TW"/>
        </w:rPr>
        <w:t>高級中等以下學校教師解聘不續聘停聘或資遣辦法</w:t>
      </w:r>
      <w:r>
        <w:rPr>
          <w:rFonts w:ascii="標楷體" w:eastAsia="標楷體" w:hAnsi="標楷體" w:cs="細明體" w:hint="eastAsia"/>
          <w:lang w:val="zh-TW"/>
        </w:rPr>
        <w:t>第2條規定辦理（參照教育部國民及學前教育署民意信件109年8月7日臺教國署國字第1090089301號函)。</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八、教師於執行教學、指導、訓練、評鑑、管理、輔導或提供學生工作機會時，在與性或性別有關之人際互動上，不得發展有違專業倫理之關係。教師發現師生關係有違反專業倫理之虞，應主動迴避或陳報學校處理。</w:t>
      </w:r>
    </w:p>
    <w:p w:rsidR="00A9406A" w:rsidRDefault="002E2C93">
      <w:pPr>
        <w:pStyle w:val="afc"/>
        <w:spacing w:line="260" w:lineRule="exact"/>
        <w:ind w:left="960" w:hanging="960"/>
        <w:jc w:val="both"/>
        <w:rPr>
          <w:rFonts w:ascii="標楷體" w:eastAsia="標楷體"/>
        </w:rPr>
      </w:pPr>
      <w:r>
        <w:rPr>
          <w:rFonts w:ascii="標楷體" w:eastAsia="標楷體" w:hint="eastAsia"/>
        </w:rPr>
        <w:t xml:space="preserve">  十九、教師應尊重他人與自己之性或身體之自主，避免不受歡迎之追求行為，並不得以強制或暴力手段處理與性或性別有關之衝突。</w:t>
      </w:r>
    </w:p>
    <w:p w:rsidR="00A9406A" w:rsidRDefault="002E2C93">
      <w:pPr>
        <w:spacing w:line="260" w:lineRule="exact"/>
        <w:ind w:left="960" w:hanging="960"/>
        <w:rPr>
          <w:rFonts w:ascii="標楷體" w:eastAsia="標楷體" w:hAnsi="標楷體" w:cs="細明體"/>
        </w:rPr>
      </w:pPr>
      <w:r>
        <w:rPr>
          <w:rFonts w:ascii="標楷體" w:eastAsia="標楷體" w:hint="eastAsia"/>
        </w:rPr>
        <w:t xml:space="preserve">  二十、教師應加強</w:t>
      </w:r>
      <w:r>
        <w:rPr>
          <w:rFonts w:ascii="標楷體" w:eastAsia="標楷體" w:hAnsi="標楷體" w:cs="細明體" w:hint="eastAsia"/>
        </w:rPr>
        <w:t>校園霸凌防制權利、義務之認知且進行校內外教學活動、執行職務及人際互動時，應發揮樂於助人、相互尊重之品德；亦應加強班級同儕間、師生間、親師間、班際間及校際間共同合作處理。</w:t>
      </w:r>
    </w:p>
    <w:p w:rsidR="00A9406A" w:rsidRDefault="002E2C93">
      <w:pPr>
        <w:pStyle w:val="afc"/>
        <w:spacing w:line="260" w:lineRule="exact"/>
        <w:ind w:left="1200" w:hanging="1200"/>
        <w:jc w:val="both"/>
        <w:rPr>
          <w:rFonts w:ascii="標楷體" w:eastAsia="標楷體" w:hAnsi="標楷體" w:cs="細明體"/>
        </w:rPr>
      </w:pPr>
      <w:r>
        <w:rPr>
          <w:rFonts w:ascii="標楷體" w:eastAsia="標楷體" w:hint="eastAsia"/>
        </w:rPr>
        <w:t xml:space="preserve">  二十一、</w:t>
      </w:r>
      <w:r>
        <w:rPr>
          <w:rFonts w:ascii="標楷體" w:eastAsia="標楷體" w:hAnsi="標楷體" w:cs="細明體" w:hint="eastAsia"/>
        </w:rPr>
        <w:t>教師應透過平日教學過程，鼓勵及教導學生如何理性溝通、積極助人及處理人際關係，以培養其責任感、道德心、樂於助人及自尊尊人之處事態度。並協助學生學習建立自我形象，真實面對自己，並積極正向思考。</w:t>
      </w:r>
    </w:p>
    <w:p w:rsidR="00A9406A" w:rsidRDefault="002E2C93">
      <w:pPr>
        <w:spacing w:line="260" w:lineRule="exact"/>
        <w:ind w:left="1200" w:hanging="1200"/>
        <w:jc w:val="both"/>
        <w:rPr>
          <w:rFonts w:ascii="標楷體" w:eastAsia="標楷體" w:hAnsi="標楷體" w:cs="細明體"/>
        </w:rPr>
      </w:pPr>
      <w:r>
        <w:rPr>
          <w:rFonts w:ascii="標楷體" w:eastAsia="標楷體" w:hint="eastAsia"/>
        </w:rPr>
        <w:t xml:space="preserve">  二十二、</w:t>
      </w:r>
      <w:r>
        <w:rPr>
          <w:rFonts w:ascii="標楷體" w:eastAsia="標楷體" w:hAnsi="標楷體" w:cs="細明體" w:hint="eastAsia"/>
        </w:rPr>
        <w:t>教師對被霸凌人及曾有霸凌行為或有該傾向之學生，應積極提供協助、主動輔導，及就學生學習狀況、人際關係與家庭生活，進行深入了解及關懷。</w:t>
      </w:r>
    </w:p>
    <w:p w:rsidR="00A9406A" w:rsidRDefault="002E2C93">
      <w:pPr>
        <w:spacing w:line="260" w:lineRule="exact"/>
        <w:ind w:left="1200" w:hanging="1200"/>
        <w:jc w:val="both"/>
        <w:rPr>
          <w:rFonts w:ascii="標楷體" w:eastAsia="標楷體" w:hAnsi="標楷體" w:cs="細明體"/>
        </w:rPr>
      </w:pPr>
      <w:r>
        <w:rPr>
          <w:rFonts w:ascii="標楷體" w:eastAsia="標楷體" w:hAnsi="標楷體" w:cs="細明體" w:hint="eastAsia"/>
        </w:rPr>
        <w:t xml:space="preserve">  二十三、教師應啟發學生同儕間正義感、榮譽心、相互幫助、關懷、照顧之品德及同理心，以消弭校園霸凌行為之產生。</w:t>
      </w:r>
    </w:p>
    <w:p w:rsidR="00A9406A" w:rsidRDefault="002E2C93">
      <w:pPr>
        <w:spacing w:line="260" w:lineRule="exact"/>
        <w:ind w:left="1200" w:hanging="1200"/>
        <w:jc w:val="both"/>
        <w:rPr>
          <w:rFonts w:ascii="標楷體" w:eastAsia="標楷體" w:hAnsi="標楷體" w:cs="細明體"/>
        </w:rPr>
      </w:pPr>
      <w:r>
        <w:rPr>
          <w:rFonts w:ascii="標楷體" w:eastAsia="標楷體" w:hAnsi="標楷體" w:cs="細明體" w:hint="eastAsia"/>
        </w:rPr>
        <w:t xml:space="preserve">  二十四、教師應主動關懷及調查學生被霸凌情形，評估行為類別、屬性及嚴重程度，依權責進行輔導，必要時送學校防制校園霸凌因應小組確認。</w:t>
      </w:r>
    </w:p>
    <w:p w:rsidR="00A9406A" w:rsidRDefault="002E2C93">
      <w:pPr>
        <w:pStyle w:val="afc"/>
        <w:spacing w:line="260" w:lineRule="exact"/>
        <w:ind w:left="1200" w:hanging="1200"/>
        <w:jc w:val="both"/>
        <w:rPr>
          <w:rFonts w:ascii="標楷體" w:eastAsia="標楷體"/>
        </w:rPr>
      </w:pPr>
      <w:r>
        <w:rPr>
          <w:rFonts w:ascii="標楷體" w:eastAsia="標楷體" w:hint="eastAsia"/>
        </w:rPr>
        <w:t xml:space="preserve">  二十五、本校教師聘約如有未盡事宜，悉按</w:t>
      </w:r>
      <w:r>
        <w:rPr>
          <w:rFonts w:ascii="標楷體" w:eastAsia="標楷體" w:hAnsi="標楷體"/>
        </w:rPr>
        <w:t>兼任代課及代理教師聘任辦法</w:t>
      </w:r>
      <w:r>
        <w:rPr>
          <w:rFonts w:ascii="標楷體" w:eastAsia="標楷體" w:hAnsi="標楷體" w:hint="eastAsia"/>
        </w:rPr>
        <w:t>、嘉義縣中小學兼任代課代理及教學支援工作人員聘任補充規定</w:t>
      </w:r>
      <w:r>
        <w:rPr>
          <w:rFonts w:ascii="標楷體" w:eastAsia="標楷體" w:hint="eastAsia"/>
        </w:rPr>
        <w:t>及相關法令規定辦理。</w:t>
      </w:r>
    </w:p>
    <w:sectPr w:rsidR="00A9406A">
      <w:pgSz w:w="11907" w:h="16840"/>
      <w:pgMar w:top="289" w:right="1134" w:bottom="295"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823" w:rsidRDefault="00BC5823">
      <w:r>
        <w:separator/>
      </w:r>
    </w:p>
  </w:endnote>
  <w:endnote w:type="continuationSeparator" w:id="0">
    <w:p w:rsidR="00BC5823" w:rsidRDefault="00BC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auto"/>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823" w:rsidRDefault="00BC5823">
      <w:r>
        <w:separator/>
      </w:r>
    </w:p>
  </w:footnote>
  <w:footnote w:type="continuationSeparator" w:id="0">
    <w:p w:rsidR="00BC5823" w:rsidRDefault="00BC5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53B00"/>
    <w:multiLevelType w:val="hybridMultilevel"/>
    <w:tmpl w:val="703635A4"/>
    <w:lvl w:ilvl="0" w:tplc="609A6D98">
      <w:start w:val="1"/>
      <w:numFmt w:val="taiwaneseCountingThousand"/>
      <w:lvlText w:val="%1、"/>
      <w:lvlJc w:val="left"/>
      <w:pPr>
        <w:tabs>
          <w:tab w:val="num" w:pos="540"/>
        </w:tabs>
        <w:ind w:left="540" w:hanging="360"/>
      </w:pPr>
      <w:rPr>
        <w:rFonts w:hint="eastAsia"/>
      </w:rPr>
    </w:lvl>
    <w:lvl w:ilvl="1" w:tplc="C41AAFA0">
      <w:start w:val="1"/>
      <w:numFmt w:val="ideographTraditional"/>
      <w:lvlText w:val="%2、"/>
      <w:lvlJc w:val="left"/>
      <w:pPr>
        <w:tabs>
          <w:tab w:val="num" w:pos="1140"/>
        </w:tabs>
        <w:ind w:left="1140" w:hanging="480"/>
      </w:pPr>
    </w:lvl>
    <w:lvl w:ilvl="2" w:tplc="05E4411A">
      <w:start w:val="1"/>
      <w:numFmt w:val="lowerRoman"/>
      <w:lvlText w:val="%3."/>
      <w:lvlJc w:val="right"/>
      <w:pPr>
        <w:tabs>
          <w:tab w:val="num" w:pos="1620"/>
        </w:tabs>
        <w:ind w:left="1620" w:hanging="480"/>
      </w:pPr>
    </w:lvl>
    <w:lvl w:ilvl="3" w:tplc="FA040B96">
      <w:start w:val="1"/>
      <w:numFmt w:val="decimal"/>
      <w:lvlText w:val="%4."/>
      <w:lvlJc w:val="left"/>
      <w:pPr>
        <w:tabs>
          <w:tab w:val="num" w:pos="2100"/>
        </w:tabs>
        <w:ind w:left="2100" w:hanging="480"/>
      </w:pPr>
    </w:lvl>
    <w:lvl w:ilvl="4" w:tplc="E75682FA">
      <w:start w:val="1"/>
      <w:numFmt w:val="ideographTraditional"/>
      <w:lvlText w:val="%5、"/>
      <w:lvlJc w:val="left"/>
      <w:pPr>
        <w:tabs>
          <w:tab w:val="num" w:pos="2580"/>
        </w:tabs>
        <w:ind w:left="2580" w:hanging="480"/>
      </w:pPr>
    </w:lvl>
    <w:lvl w:ilvl="5" w:tplc="23582E08">
      <w:start w:val="1"/>
      <w:numFmt w:val="lowerRoman"/>
      <w:lvlText w:val="%6."/>
      <w:lvlJc w:val="right"/>
      <w:pPr>
        <w:tabs>
          <w:tab w:val="num" w:pos="3060"/>
        </w:tabs>
        <w:ind w:left="3060" w:hanging="480"/>
      </w:pPr>
    </w:lvl>
    <w:lvl w:ilvl="6" w:tplc="62C81B68">
      <w:start w:val="1"/>
      <w:numFmt w:val="decimal"/>
      <w:lvlText w:val="%7."/>
      <w:lvlJc w:val="left"/>
      <w:pPr>
        <w:tabs>
          <w:tab w:val="num" w:pos="3540"/>
        </w:tabs>
        <w:ind w:left="3540" w:hanging="480"/>
      </w:pPr>
    </w:lvl>
    <w:lvl w:ilvl="7" w:tplc="E7264380">
      <w:start w:val="1"/>
      <w:numFmt w:val="ideographTraditional"/>
      <w:lvlText w:val="%8、"/>
      <w:lvlJc w:val="left"/>
      <w:pPr>
        <w:tabs>
          <w:tab w:val="num" w:pos="4020"/>
        </w:tabs>
        <w:ind w:left="4020" w:hanging="480"/>
      </w:pPr>
    </w:lvl>
    <w:lvl w:ilvl="8" w:tplc="01B26F1A">
      <w:start w:val="1"/>
      <w:numFmt w:val="lowerRoman"/>
      <w:lvlText w:val="%9."/>
      <w:lvlJc w:val="right"/>
      <w:pPr>
        <w:tabs>
          <w:tab w:val="num" w:pos="4500"/>
        </w:tabs>
        <w:ind w:left="4500" w:hanging="480"/>
      </w:pPr>
    </w:lvl>
  </w:abstractNum>
  <w:abstractNum w:abstractNumId="1" w15:restartNumberingAfterBreak="0">
    <w:nsid w:val="52733E4E"/>
    <w:multiLevelType w:val="hybridMultilevel"/>
    <w:tmpl w:val="F2F89C84"/>
    <w:lvl w:ilvl="0" w:tplc="03BED236">
      <w:start w:val="1"/>
      <w:numFmt w:val="taiwaneseCountingThousand"/>
      <w:lvlText w:val="%1、"/>
      <w:lvlJc w:val="left"/>
      <w:pPr>
        <w:ind w:left="698" w:hanging="456"/>
      </w:pPr>
    </w:lvl>
    <w:lvl w:ilvl="1" w:tplc="04404F48">
      <w:start w:val="1"/>
      <w:numFmt w:val="ideographTraditional"/>
      <w:lvlText w:val="%2、"/>
      <w:lvlJc w:val="left"/>
      <w:pPr>
        <w:ind w:left="1202" w:hanging="480"/>
      </w:pPr>
    </w:lvl>
    <w:lvl w:ilvl="2" w:tplc="08981E5C">
      <w:start w:val="1"/>
      <w:numFmt w:val="lowerRoman"/>
      <w:lvlText w:val="%3."/>
      <w:lvlJc w:val="right"/>
      <w:pPr>
        <w:ind w:left="1682" w:hanging="480"/>
      </w:pPr>
    </w:lvl>
    <w:lvl w:ilvl="3" w:tplc="0BB685BA">
      <w:start w:val="1"/>
      <w:numFmt w:val="decimal"/>
      <w:lvlText w:val="%4."/>
      <w:lvlJc w:val="left"/>
      <w:pPr>
        <w:ind w:left="2162" w:hanging="480"/>
      </w:pPr>
    </w:lvl>
    <w:lvl w:ilvl="4" w:tplc="9D3CB38C">
      <w:start w:val="1"/>
      <w:numFmt w:val="ideographTraditional"/>
      <w:lvlText w:val="%5、"/>
      <w:lvlJc w:val="left"/>
      <w:pPr>
        <w:ind w:left="2642" w:hanging="480"/>
      </w:pPr>
    </w:lvl>
    <w:lvl w:ilvl="5" w:tplc="9EF22B38">
      <w:start w:val="1"/>
      <w:numFmt w:val="lowerRoman"/>
      <w:lvlText w:val="%6."/>
      <w:lvlJc w:val="right"/>
      <w:pPr>
        <w:ind w:left="3122" w:hanging="480"/>
      </w:pPr>
    </w:lvl>
    <w:lvl w:ilvl="6" w:tplc="545CB954">
      <w:start w:val="1"/>
      <w:numFmt w:val="decimal"/>
      <w:lvlText w:val="%7."/>
      <w:lvlJc w:val="left"/>
      <w:pPr>
        <w:ind w:left="3602" w:hanging="480"/>
      </w:pPr>
    </w:lvl>
    <w:lvl w:ilvl="7" w:tplc="7C4016AE">
      <w:start w:val="1"/>
      <w:numFmt w:val="ideographTraditional"/>
      <w:lvlText w:val="%8、"/>
      <w:lvlJc w:val="left"/>
      <w:pPr>
        <w:ind w:left="4082" w:hanging="480"/>
      </w:pPr>
    </w:lvl>
    <w:lvl w:ilvl="8" w:tplc="5D28320C">
      <w:start w:val="1"/>
      <w:numFmt w:val="lowerRoman"/>
      <w:lvlText w:val="%9."/>
      <w:lvlJc w:val="right"/>
      <w:pPr>
        <w:ind w:left="45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characterSpacingControl w:val="doNotCompres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06A"/>
    <w:rsid w:val="002E2C93"/>
    <w:rsid w:val="003757E5"/>
    <w:rsid w:val="00891AFA"/>
    <w:rsid w:val="00A9406A"/>
    <w:rsid w:val="00AC709E"/>
    <w:rsid w:val="00BC5823"/>
    <w:rsid w:val="00D73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658FF-B0C2-4A00-8E83-4745BACB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szCs w:val="20"/>
    </w:rPr>
  </w:style>
  <w:style w:type="character" w:customStyle="1" w:styleId="HeaderChar">
    <w:name w:val="Header Char"/>
    <w:uiPriority w:val="99"/>
  </w:style>
  <w:style w:type="paragraph" w:styleId="af">
    <w:name w:val="footer"/>
    <w:basedOn w:val="a"/>
    <w:link w:val="af0"/>
    <w:pPr>
      <w:tabs>
        <w:tab w:val="center" w:pos="4153"/>
        <w:tab w:val="right" w:pos="8306"/>
      </w:tabs>
    </w:pPr>
    <w:rPr>
      <w:sz w:val="20"/>
      <w:szCs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uiPriority w:val="99"/>
    <w:unhideWhenUsed/>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afc">
    <w:name w:val="Plain Text"/>
    <w:basedOn w:val="a"/>
    <w:rPr>
      <w:rFonts w:ascii="細明體" w:eastAsia="細明體" w:hAnsi="Courier New" w:cs="Courier New"/>
    </w:rPr>
  </w:style>
  <w:style w:type="paragraph" w:customStyle="1" w:styleId="15">
    <w:name w:val="字元 字元1 字元 字元 字元 字元 字元 字元"/>
    <w:basedOn w:val="a"/>
    <w:pPr>
      <w:widowControl/>
      <w:spacing w:after="160" w:line="240" w:lineRule="exact"/>
    </w:pPr>
    <w:rPr>
      <w:rFonts w:ascii="Tahoma" w:hAnsi="Tahoma"/>
      <w:sz w:val="20"/>
      <w:szCs w:val="20"/>
      <w:lang w:eastAsia="en-US"/>
    </w:rPr>
  </w:style>
  <w:style w:type="paragraph" w:customStyle="1" w:styleId="16">
    <w:name w:val="字元 字元1 字元 字元 字元 字元 字元 字元 字元 字元 字元 字元"/>
    <w:basedOn w:val="a"/>
    <w:pPr>
      <w:widowControl/>
      <w:spacing w:after="160" w:line="240" w:lineRule="exact"/>
    </w:pPr>
    <w:rPr>
      <w:rFonts w:ascii="Tahoma" w:hAnsi="Tahoma"/>
      <w:sz w:val="20"/>
      <w:szCs w:val="20"/>
      <w:lang w:eastAsia="en-US"/>
    </w:rPr>
  </w:style>
  <w:style w:type="character" w:customStyle="1" w:styleId="ae">
    <w:name w:val="頁首 字元"/>
    <w:link w:val="ad"/>
  </w:style>
  <w:style w:type="character" w:customStyle="1" w:styleId="af0">
    <w:name w:val="頁尾 字元"/>
    <w:link w:val="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人事</cp:lastModifiedBy>
  <cp:revision>7</cp:revision>
  <dcterms:created xsi:type="dcterms:W3CDTF">2023-06-19T06:35:00Z</dcterms:created>
  <dcterms:modified xsi:type="dcterms:W3CDTF">2023-06-19T08:06:00Z</dcterms:modified>
  <cp:version>1048576</cp:version>
</cp:coreProperties>
</file>