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hint="eastAsia" w:ascii="標楷體" w:hAnsi="標楷體" w:eastAsia="標楷體"/>
          <w:b/>
          <w:sz w:val="32"/>
          <w:szCs w:val="32"/>
        </w:rPr>
        <w:t>嘉義</w:t>
      </w:r>
      <w:r>
        <w:rPr>
          <w:rFonts w:ascii="標楷體" w:hAnsi="標楷體" w:eastAsia="標楷體"/>
          <w:b/>
          <w:sz w:val="32"/>
          <w:szCs w:val="32"/>
        </w:rPr>
        <w:t>縣</w:t>
      </w:r>
      <w:r>
        <w:rPr>
          <w:rFonts w:hint="eastAsia" w:ascii="標楷體" w:hAnsi="標楷體" w:eastAsia="標楷體"/>
          <w:b/>
          <w:sz w:val="32"/>
          <w:szCs w:val="32"/>
        </w:rPr>
        <w:t>阿里山國民中小學</w:t>
      </w:r>
      <w:r>
        <w:rPr>
          <w:rFonts w:ascii="標楷體" w:hAnsi="標楷體" w:eastAsia="標楷體"/>
          <w:b/>
          <w:sz w:val="32"/>
          <w:szCs w:val="32"/>
        </w:rPr>
        <w:t>校園</w:t>
      </w:r>
      <w:r>
        <w:rPr>
          <w:rFonts w:hint="eastAsia" w:ascii="標楷體" w:hAnsi="標楷體" w:eastAsia="標楷體"/>
          <w:b/>
          <w:sz w:val="32"/>
          <w:szCs w:val="32"/>
        </w:rPr>
        <w:t>學習</w:t>
      </w:r>
      <w:r>
        <w:rPr>
          <w:rFonts w:ascii="標楷體" w:hAnsi="標楷體" w:eastAsia="標楷體"/>
          <w:b/>
          <w:sz w:val="32"/>
          <w:szCs w:val="32"/>
        </w:rPr>
        <w:t>載具</w:t>
      </w:r>
      <w:r>
        <w:rPr>
          <w:rFonts w:hint="eastAsia" w:ascii="標楷體" w:hAnsi="標楷體" w:eastAsia="標楷體"/>
          <w:b/>
          <w:sz w:val="32"/>
          <w:szCs w:val="32"/>
        </w:rPr>
        <w:t>使用借用</w:t>
      </w:r>
      <w:r>
        <w:rPr>
          <w:rFonts w:ascii="標楷體" w:hAnsi="標楷體" w:eastAsia="標楷體"/>
          <w:b/>
          <w:sz w:val="32"/>
          <w:szCs w:val="32"/>
        </w:rPr>
        <w:t>管理辦法</w:t>
      </w:r>
    </w:p>
    <w:p>
      <w:pPr>
        <w:jc w:val="right"/>
        <w:rPr>
          <w:rFonts w:ascii="標楷體" w:hAnsi="標楷體" w:eastAsia="標楷體"/>
          <w:bCs/>
          <w:sz w:val="24"/>
          <w:szCs w:val="24"/>
        </w:rPr>
      </w:pPr>
      <w:r>
        <w:rPr>
          <w:rFonts w:hint="eastAsia" w:ascii="標楷體" w:hAnsi="標楷體" w:eastAsia="標楷體"/>
          <w:bCs/>
          <w:sz w:val="24"/>
          <w:szCs w:val="24"/>
        </w:rPr>
        <w:t>111年</w:t>
      </w:r>
      <w:r>
        <w:rPr>
          <w:rFonts w:ascii="標楷體" w:hAnsi="標楷體" w:eastAsia="標楷體"/>
          <w:bCs/>
          <w:sz w:val="24"/>
          <w:szCs w:val="24"/>
        </w:rPr>
        <w:t>10</w:t>
      </w:r>
      <w:r>
        <w:rPr>
          <w:rFonts w:hint="eastAsia" w:ascii="標楷體" w:hAnsi="標楷體" w:eastAsia="標楷體"/>
          <w:bCs/>
          <w:sz w:val="24"/>
          <w:szCs w:val="24"/>
        </w:rPr>
        <w:t>月31日111學年度行政會議通過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依據</w:t>
      </w:r>
      <w:r>
        <w:rPr>
          <w:rFonts w:hint="eastAsia" w:ascii="標楷體" w:hAnsi="標楷體" w:eastAsia="標楷體"/>
        </w:rPr>
        <w:t>嘉義縣中小學學校學習載具使用借用管理注意事項</w:t>
      </w:r>
      <w:r>
        <w:rPr>
          <w:rFonts w:ascii="標楷體" w:hAnsi="標楷體" w:eastAsia="標楷體"/>
        </w:rPr>
        <w:t>辦理。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為導引學生、教職員工及進入校園之專業授課師資於校園內適切使用</w:t>
      </w:r>
      <w:r>
        <w:rPr>
          <w:rFonts w:hint="eastAsia" w:ascii="標楷體" w:hAnsi="標楷體" w:eastAsia="標楷體"/>
        </w:rPr>
        <w:t>校園</w:t>
      </w:r>
      <w:r>
        <w:rPr>
          <w:rFonts w:ascii="標楷體" w:hAnsi="標楷體" w:eastAsia="標楷體"/>
        </w:rPr>
        <w:t>用</w:t>
      </w:r>
      <w:r>
        <w:rPr>
          <w:rFonts w:hint="eastAsia" w:ascii="標楷體" w:hAnsi="標楷體" w:eastAsia="標楷體"/>
        </w:rPr>
        <w:t>學習</w:t>
      </w:r>
      <w:r>
        <w:rPr>
          <w:rFonts w:ascii="標楷體" w:hAnsi="標楷體" w:eastAsia="標楷體"/>
        </w:rPr>
        <w:t>載具</w:t>
      </w:r>
      <w:r>
        <w:rPr>
          <w:rFonts w:ascii="標楷體" w:hAnsi="標楷體" w:eastAsia="標楷體"/>
          <w:spacing w:val="4"/>
        </w:rPr>
        <w:t>（</w:t>
      </w:r>
      <w:r>
        <w:rPr>
          <w:rFonts w:ascii="標楷體" w:hAnsi="標楷體" w:eastAsia="標楷體"/>
          <w:spacing w:val="3"/>
        </w:rPr>
        <w:t>以下簡稱</w:t>
      </w:r>
      <w:r>
        <w:rPr>
          <w:rFonts w:hint="eastAsia" w:ascii="標楷體" w:hAnsi="標楷體" w:eastAsia="標楷體"/>
          <w:spacing w:val="3"/>
        </w:rPr>
        <w:t>學習</w:t>
      </w:r>
      <w:r>
        <w:rPr>
          <w:rFonts w:ascii="標楷體" w:hAnsi="標楷體" w:eastAsia="標楷體"/>
          <w:spacing w:val="3"/>
        </w:rPr>
        <w:t>載具</w:t>
      </w:r>
      <w:r>
        <w:rPr>
          <w:rFonts w:ascii="標楷體" w:hAnsi="標楷體" w:eastAsia="標楷體"/>
          <w:spacing w:val="-118"/>
        </w:rPr>
        <w:t>）</w:t>
      </w:r>
      <w:r>
        <w:rPr>
          <w:rFonts w:ascii="標楷體" w:hAnsi="標楷體" w:eastAsia="標楷體"/>
          <w:spacing w:val="1"/>
        </w:rPr>
        <w:t>，維持學校秩序及安全、教導學習載具使用禮儀並促進學生學習</w:t>
      </w:r>
      <w:r>
        <w:rPr>
          <w:rFonts w:ascii="標楷體" w:hAnsi="標楷體" w:eastAsia="標楷體"/>
        </w:rPr>
        <w:t>成效，特訂定</w:t>
      </w:r>
      <w:r>
        <w:rPr>
          <w:rFonts w:hint="eastAsia" w:ascii="標楷體" w:hAnsi="標楷體" w:eastAsia="標楷體"/>
        </w:rPr>
        <w:t>本校</w:t>
      </w:r>
      <w:r>
        <w:rPr>
          <w:rFonts w:ascii="標楷體" w:hAnsi="標楷體" w:eastAsia="標楷體"/>
        </w:rPr>
        <w:t>校園</w:t>
      </w:r>
      <w:r>
        <w:rPr>
          <w:rFonts w:hint="eastAsia" w:ascii="標楷體" w:hAnsi="標楷體" w:eastAsia="標楷體"/>
        </w:rPr>
        <w:t>學習</w:t>
      </w:r>
      <w:r>
        <w:rPr>
          <w:rFonts w:ascii="標楷體" w:hAnsi="標楷體" w:eastAsia="標楷體"/>
        </w:rPr>
        <w:t>載具</w:t>
      </w:r>
      <w:r>
        <w:rPr>
          <w:rFonts w:hint="eastAsia" w:ascii="標楷體" w:hAnsi="標楷體" w:eastAsia="標楷體"/>
        </w:rPr>
        <w:t>使用借用</w:t>
      </w:r>
      <w:r>
        <w:rPr>
          <w:rFonts w:ascii="標楷體" w:hAnsi="標楷體" w:eastAsia="標楷體"/>
        </w:rPr>
        <w:t>管理</w:t>
      </w:r>
      <w:r>
        <w:rPr>
          <w:rFonts w:hint="eastAsia" w:ascii="標楷體" w:hAnsi="標楷體" w:eastAsia="標楷體"/>
        </w:rPr>
        <w:t>辦法</w:t>
      </w:r>
      <w:r>
        <w:rPr>
          <w:rFonts w:ascii="標楷體" w:hAnsi="標楷體" w:eastAsia="標楷體"/>
        </w:rPr>
        <w:t>（以下簡稱本</w:t>
      </w:r>
      <w:r>
        <w:rPr>
          <w:rFonts w:hint="eastAsia" w:ascii="標楷體" w:hAnsi="標楷體" w:eastAsia="標楷體"/>
        </w:rPr>
        <w:t>辦法</w:t>
      </w:r>
      <w:r>
        <w:rPr>
          <w:rFonts w:ascii="標楷體" w:hAnsi="標楷體" w:eastAsia="標楷體"/>
          <w:spacing w:val="-120"/>
        </w:rPr>
        <w:t>）</w:t>
      </w:r>
      <w:r>
        <w:rPr>
          <w:rFonts w:ascii="標楷體" w:hAnsi="標楷體" w:eastAsia="標楷體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本</w:t>
      </w:r>
      <w:r>
        <w:rPr>
          <w:rFonts w:hint="eastAsia" w:ascii="標楷體" w:hAnsi="標楷體" w:eastAsia="標楷體"/>
        </w:rPr>
        <w:t>辦法</w:t>
      </w:r>
      <w:r>
        <w:rPr>
          <w:rFonts w:ascii="標楷體" w:hAnsi="標楷體" w:eastAsia="標楷體"/>
        </w:rPr>
        <w:t>所稱</w:t>
      </w:r>
      <w:r>
        <w:rPr>
          <w:rFonts w:hint="eastAsia" w:ascii="標楷體" w:hAnsi="標楷體" w:eastAsia="標楷體"/>
        </w:rPr>
        <w:t>學習</w:t>
      </w:r>
      <w:r>
        <w:rPr>
          <w:rFonts w:ascii="標楷體" w:hAnsi="標楷體" w:eastAsia="標楷體"/>
        </w:rPr>
        <w:t>載具係指用於教師教學及學生學習，具有資料運算存取、文件編輯、連結網路並裝有學校指定載具管理系統之可攜式行動載具。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班級使用與保管</w:t>
      </w:r>
    </w:p>
    <w:p>
      <w:pPr>
        <w:pStyle w:val="5"/>
        <w:adjustRightInd w:val="0"/>
        <w:snapToGrid w:val="0"/>
        <w:spacing w:line="380" w:lineRule="exact"/>
        <w:ind w:left="993" w:right="111" w:hanging="622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(一)</w:t>
      </w:r>
      <w:r>
        <w:rPr>
          <w:rFonts w:hint="eastAsia" w:ascii="標楷體" w:hAnsi="標楷體" w:eastAsia="標楷體"/>
        </w:rPr>
        <w:t>學校</w:t>
      </w:r>
      <w:r>
        <w:rPr>
          <w:rFonts w:ascii="標楷體" w:hAnsi="標楷體" w:eastAsia="標楷體"/>
        </w:rPr>
        <w:t>將行動充電車及</w:t>
      </w:r>
      <w:r>
        <w:rPr>
          <w:rFonts w:hint="eastAsia" w:ascii="標楷體" w:hAnsi="標楷體" w:eastAsia="標楷體"/>
        </w:rPr>
        <w:t>學習</w:t>
      </w:r>
      <w:r>
        <w:rPr>
          <w:rFonts w:ascii="標楷體" w:hAnsi="標楷體" w:eastAsia="標楷體"/>
        </w:rPr>
        <w:t>載具</w:t>
      </w:r>
      <w:r>
        <w:rPr>
          <w:rFonts w:hint="eastAsia" w:ascii="標楷體" w:hAnsi="標楷體" w:eastAsia="標楷體"/>
        </w:rPr>
        <w:t>統一</w:t>
      </w:r>
      <w:r>
        <w:rPr>
          <w:rFonts w:ascii="標楷體" w:hAnsi="標楷體" w:eastAsia="標楷體"/>
        </w:rPr>
        <w:t>分配至各</w:t>
      </w:r>
      <w:r>
        <w:rPr>
          <w:rFonts w:hint="eastAsia" w:ascii="標楷體" w:hAnsi="標楷體" w:eastAsia="標楷體"/>
        </w:rPr>
        <w:t>班</w:t>
      </w:r>
      <w:r>
        <w:rPr>
          <w:rFonts w:ascii="標楷體" w:hAnsi="標楷體" w:eastAsia="標楷體"/>
        </w:rPr>
        <w:t>，</w:t>
      </w:r>
      <w:r>
        <w:rPr>
          <w:rFonts w:hint="eastAsia" w:ascii="標楷體" w:hAnsi="標楷體" w:eastAsia="標楷體"/>
        </w:rPr>
        <w:t>以發揮善用學習載具，提高載具使用率為原則，</w:t>
      </w:r>
      <w:r>
        <w:rPr>
          <w:rFonts w:ascii="標楷體" w:hAnsi="標楷體" w:eastAsia="標楷體"/>
        </w:rPr>
        <w:t>由</w:t>
      </w:r>
      <w:r>
        <w:rPr>
          <w:rFonts w:hint="eastAsia" w:ascii="標楷體" w:hAnsi="標楷體" w:eastAsia="標楷體"/>
        </w:rPr>
        <w:t>各班副班長協助導師管理學習載具</w:t>
      </w:r>
      <w:r>
        <w:rPr>
          <w:rFonts w:ascii="標楷體" w:hAnsi="標楷體" w:eastAsia="標楷體"/>
        </w:rPr>
        <w:t>，</w:t>
      </w:r>
      <w:r>
        <w:rPr>
          <w:rFonts w:hint="eastAsia" w:ascii="標楷體" w:hAnsi="標楷體" w:eastAsia="標楷體"/>
        </w:rPr>
        <w:t>並每日</w:t>
      </w:r>
      <w:r>
        <w:rPr>
          <w:rFonts w:ascii="標楷體" w:hAnsi="標楷體" w:eastAsia="標楷體"/>
        </w:rPr>
        <w:t>清點設備及相關配件內容</w:t>
      </w:r>
      <w:r>
        <w:rPr>
          <w:rFonts w:hint="eastAsia" w:ascii="標楷體" w:hAnsi="標楷體" w:eastAsia="標楷體"/>
        </w:rPr>
        <w:t>；</w:t>
      </w:r>
      <w:r>
        <w:rPr>
          <w:rFonts w:ascii="標楷體" w:hAnsi="標楷體" w:eastAsia="標楷體"/>
        </w:rPr>
        <w:t>學期末</w:t>
      </w:r>
      <w:r>
        <w:rPr>
          <w:rFonts w:hint="eastAsia" w:ascii="標楷體" w:hAnsi="標楷體" w:eastAsia="標楷體"/>
        </w:rPr>
        <w:t>交</w:t>
      </w:r>
      <w:r>
        <w:rPr>
          <w:rFonts w:ascii="標楷體" w:hAnsi="標楷體" w:eastAsia="標楷體"/>
        </w:rPr>
        <w:t>由</w:t>
      </w:r>
      <w:r>
        <w:rPr>
          <w:rFonts w:hint="eastAsia" w:ascii="標楷體" w:hAnsi="標楷體" w:eastAsia="標楷體"/>
        </w:rPr>
        <w:t>總務處</w:t>
      </w:r>
      <w:r>
        <w:rPr>
          <w:rFonts w:ascii="標楷體" w:hAnsi="標楷體" w:eastAsia="標楷體"/>
        </w:rPr>
        <w:t>收回進行維護。</w:t>
      </w:r>
    </w:p>
    <w:p>
      <w:pPr>
        <w:pStyle w:val="5"/>
        <w:adjustRightInd w:val="0"/>
        <w:snapToGrid w:val="0"/>
        <w:spacing w:line="380" w:lineRule="exact"/>
        <w:ind w:left="993" w:right="111" w:hanging="622"/>
        <w:rPr>
          <w:rFonts w:ascii="標楷體" w:hAnsi="標楷體" w:eastAsia="標楷體"/>
          <w:bCs/>
        </w:rPr>
      </w:pPr>
      <w:r>
        <w:rPr>
          <w:rFonts w:ascii="標楷體" w:hAnsi="標楷體" w:eastAsia="標楷體"/>
        </w:rPr>
        <w:t xml:space="preserve"> (二)</w:t>
      </w:r>
      <w:r>
        <w:rPr>
          <w:rFonts w:ascii="標楷體" w:hAnsi="標楷體" w:eastAsia="標楷體"/>
          <w:bCs/>
        </w:rPr>
        <w:t>班級使用學習載具</w:t>
      </w:r>
      <w:r>
        <w:rPr>
          <w:rFonts w:hint="eastAsia" w:ascii="標楷體" w:hAnsi="標楷體" w:eastAsia="標楷體"/>
          <w:bCs/>
        </w:rPr>
        <w:t>方式，當日於教室中使用，非借回家(或宿舍)得免填借用單，直接自充電車中取用，使用完成請放回充電車，並予學習載具接上電源充電。</w:t>
      </w:r>
    </w:p>
    <w:p>
      <w:pPr>
        <w:pStyle w:val="5"/>
        <w:adjustRightInd w:val="0"/>
        <w:snapToGrid w:val="0"/>
        <w:spacing w:line="380" w:lineRule="exact"/>
        <w:ind w:left="993" w:right="111" w:hanging="622"/>
        <w:rPr>
          <w:rFonts w:ascii="標楷體" w:hAnsi="標楷體" w:eastAsia="標楷體"/>
        </w:rPr>
      </w:pPr>
      <w:r>
        <w:rPr>
          <w:rFonts w:hint="eastAsia" w:ascii="標楷體" w:hAnsi="標楷體" w:eastAsia="標楷體"/>
          <w:b/>
          <w:bCs/>
        </w:rPr>
        <w:t xml:space="preserve"> </w:t>
      </w:r>
      <w:r>
        <w:rPr>
          <w:rFonts w:ascii="標楷體" w:hAnsi="標楷體" w:eastAsia="標楷體"/>
        </w:rPr>
        <w:t>(三)</w:t>
      </w:r>
      <w:r>
        <w:rPr>
          <w:rFonts w:hint="eastAsia" w:ascii="標楷體" w:hAnsi="標楷體" w:eastAsia="標楷體"/>
        </w:rPr>
        <w:t>學習載具為教師、學生進行教學使用，以校內使用為主，如遇特殊狀況(居家學習所需或另有申請THSD方案</w:t>
      </w:r>
      <w:r>
        <w:rPr>
          <w:rFonts w:ascii="標楷體" w:hAnsi="標楷體" w:eastAsia="標楷體"/>
        </w:rPr>
        <w:t>…</w:t>
      </w:r>
      <w:r>
        <w:rPr>
          <w:rFonts w:hint="eastAsia" w:ascii="標楷體" w:hAnsi="標楷體" w:eastAsia="標楷體"/>
        </w:rPr>
        <w:t>等)請於登記表中登記借用。</w:t>
      </w:r>
    </w:p>
    <w:p>
      <w:pPr>
        <w:pStyle w:val="5"/>
        <w:adjustRightInd w:val="0"/>
        <w:snapToGrid w:val="0"/>
        <w:spacing w:line="380" w:lineRule="exact"/>
        <w:ind w:left="851" w:right="111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</w:t>
      </w:r>
      <w:r>
        <w:rPr>
          <w:rFonts w:ascii="標楷體" w:hAnsi="標楷體" w:eastAsia="標楷體"/>
        </w:rPr>
        <w:t>(四)為維護設備正常運作，不得自行拆解學習載具或刪除相關應用軟體。</w:t>
      </w:r>
    </w:p>
    <w:p>
      <w:pPr>
        <w:pStyle w:val="5"/>
        <w:adjustRightInd w:val="0"/>
        <w:snapToGrid w:val="0"/>
        <w:spacing w:line="380" w:lineRule="exact"/>
        <w:ind w:left="993" w:right="111" w:hanging="622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(五)倘學習載具發生故障或其他不明狀況致無法正常使用，應通知資訊組，由學校指定</w:t>
      </w:r>
      <w:r>
        <w:rPr>
          <w:rFonts w:hint="eastAsia" w:ascii="標楷體" w:hAnsi="標楷體" w:eastAsia="標楷體"/>
        </w:rPr>
        <w:t>載具保固</w:t>
      </w:r>
      <w:r>
        <w:rPr>
          <w:rFonts w:ascii="標楷體" w:hAnsi="標楷體" w:eastAsia="標楷體"/>
        </w:rPr>
        <w:t>業者協</w:t>
      </w:r>
      <w:r>
        <w:rPr>
          <w:rFonts w:hint="eastAsia" w:ascii="標楷體" w:hAnsi="標楷體" w:eastAsia="標楷體"/>
        </w:rPr>
        <w:t>助</w:t>
      </w:r>
      <w:r>
        <w:rPr>
          <w:rFonts w:ascii="標楷體" w:hAnsi="標楷體" w:eastAsia="標楷體"/>
        </w:rPr>
        <w:t>處</w:t>
      </w:r>
      <w:r>
        <w:rPr>
          <w:rFonts w:hint="eastAsia" w:ascii="標楷體" w:hAnsi="標楷體" w:eastAsia="標楷體"/>
        </w:rPr>
        <w:t>理</w:t>
      </w:r>
      <w:r>
        <w:rPr>
          <w:rFonts w:ascii="標楷體" w:hAnsi="標楷體" w:eastAsia="標楷體"/>
        </w:rPr>
        <w:t>，</w:t>
      </w:r>
      <w:r>
        <w:rPr>
          <w:rFonts w:hint="eastAsia" w:ascii="標楷體" w:hAnsi="標楷體" w:eastAsia="標楷體"/>
        </w:rPr>
        <w:t>勿自行</w:t>
      </w:r>
      <w:r>
        <w:rPr>
          <w:rFonts w:ascii="標楷體" w:hAnsi="標楷體" w:eastAsia="標楷體"/>
        </w:rPr>
        <w:t>交由第三方逕行修復。</w:t>
      </w:r>
    </w:p>
    <w:p>
      <w:pPr>
        <w:pStyle w:val="5"/>
        <w:adjustRightInd w:val="0"/>
        <w:snapToGrid w:val="0"/>
        <w:spacing w:line="380" w:lineRule="exact"/>
        <w:ind w:left="993" w:right="109" w:hanging="622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</w:t>
      </w:r>
      <w:r>
        <w:rPr>
          <w:rFonts w:ascii="標楷體" w:hAnsi="標楷體" w:eastAsia="標楷體"/>
        </w:rPr>
        <w:t>(六)使用學校學習載具倘有遺失、遭竊或損毀，應立即通知資訊組，並由學校相關處室召開會議釐清責任歸屬，必要時須負擔賠償責任。</w:t>
      </w:r>
    </w:p>
    <w:p>
      <w:pPr>
        <w:pStyle w:val="5"/>
        <w:adjustRightInd w:val="0"/>
        <w:snapToGrid w:val="0"/>
        <w:spacing w:line="380" w:lineRule="exact"/>
        <w:ind w:left="112" w:firstLine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五、學生使用規範</w:t>
      </w:r>
    </w:p>
    <w:p>
      <w:pPr>
        <w:pStyle w:val="5"/>
        <w:adjustRightInd w:val="0"/>
        <w:snapToGrid w:val="0"/>
        <w:spacing w:line="380" w:lineRule="exact"/>
        <w:ind w:left="993" w:right="116" w:hanging="622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(一)學習載具應於教師教學或引導學習時使用，嚴禁於學習期間使用與學習活動無關之遊戲軟體、社群聊天通訊、通話、攝錄影、發文等應用軟體。</w:t>
      </w:r>
    </w:p>
    <w:p>
      <w:pPr>
        <w:pStyle w:val="5"/>
        <w:adjustRightInd w:val="0"/>
        <w:snapToGrid w:val="0"/>
        <w:spacing w:line="380" w:lineRule="exact"/>
        <w:ind w:left="993" w:right="116" w:hanging="622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(二)使用學習載具應注意網路使用禮儀，</w:t>
      </w:r>
      <w:r>
        <w:rPr>
          <w:rFonts w:ascii="標楷體" w:hAnsi="標楷體" w:eastAsia="標楷體"/>
          <w:spacing w:val="-1"/>
        </w:rPr>
        <w:t>尊重智慧財產權</w:t>
      </w:r>
      <w:r>
        <w:rPr>
          <w:rFonts w:ascii="標楷體" w:hAnsi="標楷體" w:eastAsia="標楷體"/>
        </w:rPr>
        <w:t>，</w:t>
      </w:r>
      <w:r>
        <w:rPr>
          <w:rFonts w:ascii="標楷體" w:hAnsi="標楷體" w:eastAsia="標楷體"/>
          <w:spacing w:val="-1"/>
        </w:rPr>
        <w:t>遵守校園網路使用規範及臺灣學術網路管理規範，</w:t>
      </w:r>
      <w:r>
        <w:rPr>
          <w:rFonts w:ascii="標楷體" w:hAnsi="標楷體" w:eastAsia="標楷體"/>
        </w:rPr>
        <w:t>並配合教師教學及學習活動，切勿影響其他學生學習、擾亂上課秩序及干擾教師教學。</w:t>
      </w:r>
    </w:p>
    <w:p>
      <w:pPr>
        <w:pStyle w:val="5"/>
        <w:adjustRightInd w:val="0"/>
        <w:snapToGrid w:val="0"/>
        <w:spacing w:line="380" w:lineRule="exact"/>
        <w:ind w:left="993" w:right="116" w:hanging="622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</w:t>
      </w:r>
      <w:r>
        <w:rPr>
          <w:rFonts w:ascii="標楷體" w:hAnsi="標楷體" w:eastAsia="標楷體"/>
        </w:rPr>
        <w:t>(三</w:t>
      </w:r>
      <w:r>
        <w:rPr>
          <w:rFonts w:ascii="標楷體" w:hAnsi="標楷體" w:eastAsia="標楷體"/>
          <w:spacing w:val="16"/>
        </w:rPr>
        <w:t>)</w:t>
      </w:r>
      <w:r>
        <w:rPr>
          <w:rFonts w:ascii="標楷體" w:hAnsi="標楷體" w:eastAsia="標楷體"/>
        </w:rPr>
        <w:t>使用學習載具若有不當使用或違反正常使用之破壞行為，造成設備損壞，經查證屬實，須</w:t>
      </w:r>
      <w:r>
        <w:rPr>
          <w:rFonts w:hint="eastAsia" w:ascii="標楷體" w:hAnsi="標楷體" w:eastAsia="標楷體"/>
          <w:spacing w:val="-1"/>
        </w:rPr>
        <w:t>依下列方式處理：</w:t>
      </w:r>
    </w:p>
    <w:p>
      <w:pPr>
        <w:pStyle w:val="5"/>
        <w:adjustRightInd w:val="0"/>
        <w:snapToGrid w:val="0"/>
        <w:spacing w:line="380" w:lineRule="exact"/>
        <w:ind w:right="113"/>
        <w:rPr>
          <w:rFonts w:ascii="標楷體" w:hAnsi="標楷體" w:eastAsia="標楷體"/>
          <w:spacing w:val="-1"/>
        </w:rPr>
      </w:pPr>
      <w:r>
        <w:rPr>
          <w:rFonts w:ascii="標楷體" w:hAnsi="標楷體" w:eastAsia="標楷體"/>
          <w:spacing w:val="-1"/>
        </w:rPr>
        <w:t xml:space="preserve">  </w:t>
      </w:r>
      <w:r>
        <w:rPr>
          <w:rFonts w:hint="eastAsia" w:ascii="標楷體" w:hAnsi="標楷體" w:eastAsia="標楷體"/>
          <w:spacing w:val="-1"/>
        </w:rPr>
        <w:t>1.</w:t>
      </w:r>
      <w:r>
        <w:rPr>
          <w:rFonts w:ascii="標楷體" w:hAnsi="標楷體" w:eastAsia="標楷體"/>
          <w:spacing w:val="-1"/>
        </w:rPr>
        <w:t>當事人應將載具修復原狀，若委託學校代為修理，修理費用依市價以現金繳納。</w:t>
      </w:r>
    </w:p>
    <w:p>
      <w:pPr>
        <w:pStyle w:val="5"/>
        <w:adjustRightInd w:val="0"/>
        <w:snapToGrid w:val="0"/>
        <w:spacing w:line="380" w:lineRule="exact"/>
        <w:ind w:right="113"/>
        <w:rPr>
          <w:rFonts w:ascii="標楷體" w:hAnsi="標楷體" w:eastAsia="標楷體"/>
          <w:spacing w:val="-1"/>
        </w:rPr>
      </w:pPr>
      <w:r>
        <w:rPr>
          <w:rFonts w:ascii="標楷體" w:hAnsi="標楷體" w:eastAsia="標楷體"/>
          <w:spacing w:val="-1"/>
        </w:rPr>
        <w:t xml:space="preserve">  </w:t>
      </w:r>
      <w:r>
        <w:rPr>
          <w:rFonts w:hint="eastAsia" w:ascii="標楷體" w:hAnsi="標楷體" w:eastAsia="標楷體"/>
          <w:spacing w:val="-1"/>
        </w:rPr>
        <w:t>2.</w:t>
      </w:r>
      <w:r>
        <w:rPr>
          <w:rFonts w:ascii="標楷體" w:hAnsi="標楷體" w:eastAsia="標楷體"/>
          <w:spacing w:val="-1"/>
        </w:rPr>
        <w:t>如經當事人及校方雙方確認無法修繕，經學校同意以該財產購置價格扣除折舊後之淨額賠償。</w:t>
      </w:r>
    </w:p>
    <w:p>
      <w:pPr>
        <w:pStyle w:val="5"/>
        <w:adjustRightInd w:val="0"/>
        <w:snapToGrid w:val="0"/>
        <w:spacing w:line="380" w:lineRule="exact"/>
        <w:ind w:right="113"/>
        <w:rPr>
          <w:rFonts w:ascii="標楷體" w:hAnsi="標楷體" w:eastAsia="標楷體"/>
          <w:spacing w:val="-1"/>
        </w:rPr>
      </w:pPr>
      <w:r>
        <w:rPr>
          <w:rFonts w:ascii="標楷體" w:hAnsi="標楷體" w:eastAsia="標楷體"/>
          <w:spacing w:val="-1"/>
        </w:rPr>
        <w:t xml:space="preserve">  </w:t>
      </w:r>
      <w:r>
        <w:rPr>
          <w:rFonts w:hint="eastAsia" w:ascii="標楷體" w:hAnsi="標楷體" w:eastAsia="標楷體"/>
          <w:spacing w:val="-1"/>
        </w:rPr>
        <w:t>3.</w:t>
      </w:r>
      <w:r>
        <w:rPr>
          <w:rFonts w:ascii="標楷體" w:hAnsi="標楷體" w:eastAsia="標楷體"/>
          <w:spacing w:val="-1"/>
        </w:rPr>
        <w:t>財物毀損或遺失，責任屬班級卻無法確定個人責任時，應由該班負責賠償。</w:t>
      </w:r>
    </w:p>
    <w:p>
      <w:pPr>
        <w:pStyle w:val="5"/>
        <w:adjustRightInd w:val="0"/>
        <w:snapToGrid w:val="0"/>
        <w:spacing w:line="380" w:lineRule="exact"/>
        <w:ind w:right="113"/>
        <w:rPr>
          <w:rFonts w:ascii="標楷體" w:hAnsi="標楷體" w:eastAsia="標楷體"/>
          <w:spacing w:val="-1"/>
        </w:rPr>
      </w:pPr>
      <w:r>
        <w:rPr>
          <w:rFonts w:ascii="標楷體" w:hAnsi="標楷體" w:eastAsia="標楷體"/>
          <w:spacing w:val="-1"/>
        </w:rPr>
        <w:t xml:space="preserve">  </w:t>
      </w:r>
      <w:r>
        <w:rPr>
          <w:rFonts w:hint="eastAsia" w:ascii="標楷體" w:hAnsi="標楷體" w:eastAsia="標楷體"/>
          <w:spacing w:val="-1"/>
        </w:rPr>
        <w:t>4.</w:t>
      </w:r>
      <w:r>
        <w:rPr>
          <w:rFonts w:ascii="標楷體" w:hAnsi="標楷體" w:eastAsia="標楷體"/>
          <w:spacing w:val="-1"/>
        </w:rPr>
        <w:t>賠償金內繳交出納組，出納組收到上項賠償金額應發給收據。</w:t>
      </w:r>
    </w:p>
    <w:p>
      <w:pPr>
        <w:pStyle w:val="5"/>
        <w:adjustRightInd w:val="0"/>
        <w:snapToGrid w:val="0"/>
        <w:spacing w:line="380" w:lineRule="exact"/>
        <w:ind w:right="113" w:hanging="222"/>
        <w:rPr>
          <w:rFonts w:ascii="標楷體" w:hAnsi="標楷體" w:eastAsia="標楷體"/>
          <w:spacing w:val="-1"/>
        </w:rPr>
      </w:pPr>
      <w:r>
        <w:rPr>
          <w:rFonts w:hint="eastAsia" w:ascii="標楷體" w:hAnsi="標楷體" w:eastAsia="標楷體"/>
          <w:spacing w:val="-1"/>
        </w:rPr>
        <w:t>5.學習載具賠償金額一覽表</w:t>
      </w:r>
    </w:p>
    <w:tbl>
      <w:tblPr>
        <w:tblStyle w:val="3"/>
        <w:tblW w:w="0" w:type="auto"/>
        <w:tblInd w:w="10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1510" w:type="dxa"/>
            <w:vAlign w:val="center"/>
          </w:tcPr>
          <w:p>
            <w:pPr>
              <w:pStyle w:val="5"/>
              <w:adjustRightInd w:val="0"/>
              <w:snapToGrid w:val="0"/>
              <w:spacing w:line="380" w:lineRule="exact"/>
              <w:ind w:left="19" w:right="113" w:firstLine="61"/>
              <w:jc w:val="center"/>
              <w:rPr>
                <w:rFonts w:ascii="標楷體" w:hAnsi="標楷體" w:eastAsia="標楷體"/>
                <w:spacing w:val="-1"/>
              </w:rPr>
            </w:pPr>
            <w:r>
              <w:rPr>
                <w:rFonts w:hint="eastAsia" w:ascii="標楷體" w:hAnsi="標楷體" w:eastAsia="標楷體"/>
                <w:spacing w:val="-1"/>
              </w:rPr>
              <w:t>三星平板</w:t>
            </w:r>
          </w:p>
        </w:tc>
        <w:tc>
          <w:tcPr>
            <w:tcW w:w="1510" w:type="dxa"/>
            <w:vAlign w:val="center"/>
          </w:tcPr>
          <w:p>
            <w:pPr>
              <w:pStyle w:val="5"/>
              <w:adjustRightInd w:val="0"/>
              <w:snapToGrid w:val="0"/>
              <w:spacing w:line="380" w:lineRule="exact"/>
              <w:ind w:left="19" w:right="113" w:firstLine="61"/>
              <w:jc w:val="center"/>
              <w:rPr>
                <w:rFonts w:ascii="標楷體" w:hAnsi="標楷體" w:eastAsia="標楷體"/>
                <w:spacing w:val="-1"/>
              </w:rPr>
            </w:pPr>
            <w:r>
              <w:rPr>
                <w:rFonts w:hint="eastAsia" w:ascii="標楷體" w:hAnsi="標楷體" w:eastAsia="標楷體"/>
                <w:spacing w:val="-1"/>
              </w:rPr>
              <w:t>觸控筆</w:t>
            </w:r>
          </w:p>
        </w:tc>
        <w:tc>
          <w:tcPr>
            <w:tcW w:w="1510" w:type="dxa"/>
            <w:vAlign w:val="center"/>
          </w:tcPr>
          <w:p>
            <w:pPr>
              <w:pStyle w:val="5"/>
              <w:adjustRightInd w:val="0"/>
              <w:snapToGrid w:val="0"/>
              <w:spacing w:line="380" w:lineRule="exact"/>
              <w:ind w:left="19" w:right="113" w:firstLine="61"/>
              <w:jc w:val="center"/>
              <w:rPr>
                <w:rFonts w:ascii="標楷體" w:hAnsi="標楷體" w:eastAsia="標楷體"/>
                <w:spacing w:val="-1"/>
              </w:rPr>
            </w:pPr>
            <w:r>
              <w:rPr>
                <w:rFonts w:hint="eastAsia" w:ascii="標楷體" w:hAnsi="標楷體" w:eastAsia="標楷體"/>
                <w:spacing w:val="-1"/>
              </w:rPr>
              <w:t>藍芽鍵盤</w:t>
            </w:r>
          </w:p>
        </w:tc>
        <w:tc>
          <w:tcPr>
            <w:tcW w:w="1510" w:type="dxa"/>
            <w:vAlign w:val="center"/>
          </w:tcPr>
          <w:p>
            <w:pPr>
              <w:pStyle w:val="5"/>
              <w:adjustRightInd w:val="0"/>
              <w:snapToGrid w:val="0"/>
              <w:spacing w:line="380" w:lineRule="exact"/>
              <w:ind w:left="19" w:right="113" w:firstLine="61"/>
              <w:jc w:val="center"/>
              <w:rPr>
                <w:rFonts w:ascii="標楷體" w:hAnsi="標楷體" w:eastAsia="標楷體"/>
                <w:spacing w:val="-1"/>
              </w:rPr>
            </w:pPr>
            <w:r>
              <w:rPr>
                <w:rFonts w:hint="eastAsia" w:ascii="標楷體" w:hAnsi="標楷體" w:eastAsia="標楷體"/>
                <w:spacing w:val="-1"/>
              </w:rPr>
              <w:t>充電組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1510" w:type="dxa"/>
            <w:vAlign w:val="center"/>
          </w:tcPr>
          <w:p>
            <w:pPr>
              <w:pStyle w:val="5"/>
              <w:adjustRightInd w:val="0"/>
              <w:snapToGrid w:val="0"/>
              <w:spacing w:line="380" w:lineRule="exact"/>
              <w:ind w:left="19" w:right="113" w:firstLine="61"/>
              <w:jc w:val="center"/>
              <w:rPr>
                <w:rFonts w:ascii="標楷體" w:hAnsi="標楷體" w:eastAsia="標楷體"/>
                <w:spacing w:val="-1"/>
              </w:rPr>
            </w:pPr>
            <w:r>
              <w:rPr>
                <w:rFonts w:hint="eastAsia" w:ascii="標楷體" w:hAnsi="標楷體" w:eastAsia="標楷體"/>
                <w:spacing w:val="-1"/>
              </w:rPr>
              <w:t>1</w:t>
            </w:r>
            <w:r>
              <w:rPr>
                <w:rFonts w:ascii="標楷體" w:hAnsi="標楷體" w:eastAsia="標楷體"/>
                <w:spacing w:val="-1"/>
              </w:rPr>
              <w:t>0,</w:t>
            </w:r>
            <w:r>
              <w:rPr>
                <w:rFonts w:hint="eastAsia" w:ascii="標楷體" w:hAnsi="標楷體" w:eastAsia="標楷體"/>
                <w:spacing w:val="-1"/>
              </w:rPr>
              <w:t>000元</w:t>
            </w:r>
          </w:p>
        </w:tc>
        <w:tc>
          <w:tcPr>
            <w:tcW w:w="1510" w:type="dxa"/>
            <w:vAlign w:val="center"/>
          </w:tcPr>
          <w:p>
            <w:pPr>
              <w:pStyle w:val="5"/>
              <w:adjustRightInd w:val="0"/>
              <w:snapToGrid w:val="0"/>
              <w:spacing w:line="380" w:lineRule="exact"/>
              <w:ind w:left="19" w:right="113" w:firstLine="61"/>
              <w:jc w:val="center"/>
              <w:rPr>
                <w:rFonts w:ascii="標楷體" w:hAnsi="標楷體" w:eastAsia="標楷體"/>
                <w:spacing w:val="-1"/>
              </w:rPr>
            </w:pPr>
            <w:r>
              <w:rPr>
                <w:rFonts w:hint="eastAsia" w:ascii="標楷體" w:hAnsi="標楷體" w:eastAsia="標楷體"/>
                <w:spacing w:val="-1"/>
              </w:rPr>
              <w:t>1</w:t>
            </w:r>
            <w:r>
              <w:rPr>
                <w:rFonts w:ascii="標楷體" w:hAnsi="標楷體" w:eastAsia="標楷體"/>
                <w:spacing w:val="-1"/>
              </w:rPr>
              <w:t>,</w:t>
            </w:r>
            <w:r>
              <w:rPr>
                <w:rFonts w:hint="eastAsia" w:ascii="標楷體" w:hAnsi="標楷體" w:eastAsia="標楷體"/>
                <w:spacing w:val="-1"/>
              </w:rPr>
              <w:t>000元</w:t>
            </w:r>
          </w:p>
        </w:tc>
        <w:tc>
          <w:tcPr>
            <w:tcW w:w="1510" w:type="dxa"/>
            <w:vAlign w:val="center"/>
          </w:tcPr>
          <w:p>
            <w:pPr>
              <w:pStyle w:val="5"/>
              <w:adjustRightInd w:val="0"/>
              <w:snapToGrid w:val="0"/>
              <w:spacing w:line="380" w:lineRule="exact"/>
              <w:ind w:left="19" w:right="113" w:firstLine="61"/>
              <w:jc w:val="center"/>
              <w:rPr>
                <w:rFonts w:ascii="標楷體" w:hAnsi="標楷體" w:eastAsia="標楷體"/>
                <w:spacing w:val="-1"/>
              </w:rPr>
            </w:pPr>
            <w:r>
              <w:rPr>
                <w:rFonts w:hint="eastAsia" w:ascii="標楷體" w:hAnsi="標楷體" w:eastAsia="標楷體"/>
                <w:spacing w:val="-1"/>
              </w:rPr>
              <w:t>1</w:t>
            </w:r>
            <w:r>
              <w:rPr>
                <w:rFonts w:ascii="標楷體" w:hAnsi="標楷體" w:eastAsia="標楷體"/>
                <w:spacing w:val="-1"/>
              </w:rPr>
              <w:t>,</w:t>
            </w:r>
            <w:r>
              <w:rPr>
                <w:rFonts w:hint="eastAsia" w:ascii="標楷體" w:hAnsi="標楷體" w:eastAsia="標楷體"/>
                <w:spacing w:val="-1"/>
              </w:rPr>
              <w:t>500元</w:t>
            </w:r>
          </w:p>
        </w:tc>
        <w:tc>
          <w:tcPr>
            <w:tcW w:w="1510" w:type="dxa"/>
            <w:vAlign w:val="center"/>
          </w:tcPr>
          <w:p>
            <w:pPr>
              <w:pStyle w:val="5"/>
              <w:adjustRightInd w:val="0"/>
              <w:snapToGrid w:val="0"/>
              <w:spacing w:line="380" w:lineRule="exact"/>
              <w:ind w:left="19" w:right="113" w:firstLine="61"/>
              <w:jc w:val="center"/>
              <w:rPr>
                <w:rFonts w:ascii="標楷體" w:hAnsi="標楷體" w:eastAsia="標楷體"/>
                <w:spacing w:val="-1"/>
              </w:rPr>
            </w:pPr>
            <w:r>
              <w:rPr>
                <w:rFonts w:hint="eastAsia" w:ascii="標楷體" w:hAnsi="標楷體" w:eastAsia="標楷體"/>
                <w:spacing w:val="-1"/>
              </w:rPr>
              <w:t>500元</w:t>
            </w:r>
          </w:p>
        </w:tc>
      </w:tr>
    </w:tbl>
    <w:p>
      <w:pPr>
        <w:pStyle w:val="5"/>
        <w:adjustRightInd w:val="0"/>
        <w:snapToGrid w:val="0"/>
        <w:spacing w:after="120" w:afterLines="50" w:line="380" w:lineRule="exact"/>
        <w:ind w:left="0" w:right="113" w:firstLine="0"/>
        <w:rPr>
          <w:rFonts w:ascii="標楷體" w:hAnsi="標楷體" w:eastAsia="標楷體"/>
        </w:rPr>
      </w:pPr>
      <w:r>
        <w:rPr>
          <w:rFonts w:hint="eastAsia" w:ascii="標楷體" w:hAnsi="標楷體" w:eastAsia="標楷體"/>
          <w:spacing w:val="-1"/>
        </w:rPr>
        <w:t xml:space="preserve">  六、</w:t>
      </w:r>
      <w:r>
        <w:rPr>
          <w:rFonts w:ascii="標楷體" w:hAnsi="標楷體" w:eastAsia="標楷體"/>
          <w:spacing w:val="-9"/>
        </w:rPr>
        <w:t>本辦法經校務</w:t>
      </w:r>
      <w:r>
        <w:rPr>
          <w:rFonts w:hint="eastAsia" w:ascii="標楷體" w:hAnsi="標楷體" w:eastAsia="標楷體"/>
          <w:spacing w:val="-9"/>
        </w:rPr>
        <w:t>(內)</w:t>
      </w:r>
      <w:r>
        <w:rPr>
          <w:rFonts w:ascii="標楷體" w:hAnsi="標楷體" w:eastAsia="標楷體"/>
        </w:rPr>
        <w:t>會議討論通過，奉核定後實施，並公告於學校網站，其修正時亦同。</w:t>
      </w:r>
    </w:p>
    <w:p>
      <w:pPr>
        <w:pStyle w:val="5"/>
        <w:adjustRightInd w:val="0"/>
        <w:snapToGrid w:val="0"/>
        <w:spacing w:before="120" w:beforeLines="50" w:line="380" w:lineRule="exact"/>
        <w:ind w:left="0" w:right="113" w:firstLine="0"/>
        <w:rPr>
          <w:rFonts w:ascii="標楷體" w:hAnsi="標楷體" w:eastAsia="標楷體"/>
          <w:spacing w:val="-1"/>
        </w:rPr>
      </w:pPr>
      <w:r>
        <w:rPr>
          <w:spacing w:val="-1"/>
        </w:rPr>
        <w:t xml:space="preserve">   </w:t>
      </w:r>
      <w:r>
        <w:rPr>
          <w:rFonts w:ascii="標楷體" w:hAnsi="標楷體" w:eastAsia="標楷體"/>
          <w:spacing w:val="-1"/>
        </w:rPr>
        <w:t xml:space="preserve"> 承辦人:                     主任:                     校長:</w:t>
      </w:r>
    </w:p>
    <w:p>
      <w:pPr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附件一</w:t>
      </w:r>
    </w:p>
    <w:p>
      <w:pPr>
        <w:jc w:val="center"/>
        <w:rPr>
          <w:rFonts w:ascii="標楷體" w:hAnsi="標楷體" w:eastAsia="標楷體"/>
          <w:sz w:val="72"/>
          <w:szCs w:val="72"/>
        </w:rPr>
      </w:pPr>
      <w:r>
        <w:rPr>
          <w:rFonts w:hint="eastAsia" w:ascii="標楷體" w:hAnsi="標楷體" w:eastAsia="標楷體"/>
          <w:sz w:val="72"/>
          <w:szCs w:val="72"/>
        </w:rPr>
        <w:t>嘉義縣阿里山國民中小學</w:t>
      </w:r>
    </w:p>
    <w:p>
      <w:pPr>
        <w:rPr>
          <w:rFonts w:ascii="標楷體" w:hAnsi="標楷體" w:eastAsia="標楷體"/>
        </w:rPr>
      </w:pPr>
    </w:p>
    <w:p>
      <w:pPr>
        <w:jc w:val="center"/>
        <w:rPr>
          <w:rFonts w:ascii="標楷體" w:hAnsi="標楷體" w:eastAsia="標楷體"/>
          <w:sz w:val="48"/>
          <w:szCs w:val="48"/>
        </w:rPr>
      </w:pPr>
      <w:r>
        <w:rPr>
          <w:rFonts w:hint="eastAsia" w:ascii="標楷體" w:hAnsi="標楷體" w:eastAsia="標楷體"/>
          <w:sz w:val="48"/>
          <w:szCs w:val="48"/>
        </w:rPr>
        <w:t>行政院重點教育計畫</w:t>
      </w:r>
    </w:p>
    <w:p>
      <w:pPr>
        <w:jc w:val="center"/>
        <w:rPr>
          <w:rFonts w:ascii="標楷體" w:hAnsi="標楷體" w:eastAsia="標楷體"/>
          <w:sz w:val="48"/>
          <w:szCs w:val="48"/>
        </w:rPr>
      </w:pPr>
      <w:r>
        <w:rPr>
          <w:rFonts w:hint="eastAsia" w:ascii="標楷體" w:hAnsi="標楷體" w:eastAsia="標楷體"/>
          <w:sz w:val="48"/>
          <w:szCs w:val="48"/>
        </w:rPr>
        <w:t>數位學習精進方案</w:t>
      </w:r>
    </w:p>
    <w:p>
      <w:pPr>
        <w:jc w:val="center"/>
        <w:rPr>
          <w:rFonts w:ascii="標楷體" w:hAnsi="標楷體" w:eastAsia="標楷體"/>
          <w:sz w:val="48"/>
          <w:szCs w:val="48"/>
        </w:rPr>
      </w:pPr>
      <w:r>
        <w:rPr>
          <w:rFonts w:hint="eastAsia" w:ascii="標楷體" w:hAnsi="標楷體" w:eastAsia="標楷體"/>
          <w:sz w:val="48"/>
          <w:szCs w:val="48"/>
        </w:rPr>
        <w:t>班班有網路</w:t>
      </w:r>
    </w:p>
    <w:p>
      <w:pPr>
        <w:jc w:val="center"/>
        <w:rPr>
          <w:rFonts w:ascii="標楷體" w:hAnsi="標楷體" w:eastAsia="標楷體"/>
          <w:sz w:val="48"/>
          <w:szCs w:val="48"/>
        </w:rPr>
      </w:pPr>
      <w:r>
        <w:rPr>
          <w:rFonts w:hint="eastAsia" w:ascii="標楷體" w:hAnsi="標楷體" w:eastAsia="標楷體"/>
          <w:sz w:val="48"/>
          <w:szCs w:val="48"/>
        </w:rPr>
        <w:t>生生用平板</w:t>
      </w:r>
    </w:p>
    <w:p>
      <w:pPr>
        <w:jc w:val="center"/>
        <w:rPr>
          <w:rFonts w:ascii="標楷體" w:hAnsi="標楷體" w:eastAsia="標楷體"/>
        </w:rPr>
      </w:pPr>
    </w:p>
    <w:p>
      <w:pPr>
        <w:rPr>
          <w:rFonts w:ascii="標楷體" w:hAnsi="標楷體" w:eastAsia="標楷體"/>
        </w:rPr>
      </w:pPr>
    </w:p>
    <w:p>
      <w:pPr>
        <w:jc w:val="center"/>
        <w:rPr>
          <w:rFonts w:ascii="標楷體" w:hAnsi="標楷體" w:eastAsia="標楷體"/>
          <w:sz w:val="96"/>
          <w:szCs w:val="96"/>
          <w:bdr w:val="single" w:color="auto" w:sz="4" w:space="0"/>
        </w:rPr>
      </w:pPr>
      <w:r>
        <w:rPr>
          <w:rFonts w:hint="eastAsia" w:ascii="標楷體" w:hAnsi="標楷體" w:eastAsia="標楷體"/>
          <w:sz w:val="96"/>
          <w:szCs w:val="96"/>
          <w:bdr w:val="single" w:color="auto" w:sz="4" w:space="0"/>
        </w:rPr>
        <w:t>管理使用登記簿</w:t>
      </w:r>
    </w:p>
    <w:p>
      <w:pPr>
        <w:rPr>
          <w:rFonts w:ascii="標楷體" w:hAnsi="標楷體" w:eastAsia="標楷體"/>
        </w:rPr>
      </w:pPr>
    </w:p>
    <w:p>
      <w:pPr>
        <w:rPr>
          <w:rFonts w:ascii="標楷體" w:hAnsi="標楷體" w:eastAsia="標楷體"/>
        </w:rPr>
      </w:pPr>
    </w:p>
    <w:p>
      <w:pPr>
        <w:rPr>
          <w:rFonts w:ascii="標楷體" w:hAnsi="標楷體" w:eastAsia="標楷體"/>
        </w:rPr>
      </w:pPr>
    </w:p>
    <w:p>
      <w:pPr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48"/>
          <w:szCs w:val="48"/>
        </w:rPr>
        <w:drawing>
          <wp:inline distT="0" distB="0" distL="0" distR="0">
            <wp:extent cx="1953260" cy="1232535"/>
            <wp:effectExtent l="0" t="0" r="889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322" cy="125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  <w:sz w:val="36"/>
          <w:szCs w:val="36"/>
        </w:rPr>
        <w:t>(簿冊期末繳回管理單位)</w:t>
      </w:r>
    </w:p>
    <w:p>
      <w:pPr>
        <w:jc w:val="center"/>
        <w:rPr>
          <w:rFonts w:ascii="標楷體" w:hAnsi="標楷體" w:eastAsia="標楷體"/>
          <w:sz w:val="36"/>
          <w:szCs w:val="36"/>
        </w:rPr>
      </w:pPr>
    </w:p>
    <w:p>
      <w:pPr>
        <w:jc w:val="center"/>
        <w:rPr>
          <w:rFonts w:ascii="標楷體" w:hAnsi="標楷體" w:eastAsia="標楷體"/>
          <w:sz w:val="36"/>
          <w:szCs w:val="36"/>
        </w:rPr>
      </w:pPr>
    </w:p>
    <w:p>
      <w:pPr>
        <w:spacing w:line="480" w:lineRule="exact"/>
        <w:ind w:firstLine="936" w:firstLineChars="260"/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  <w:sz w:val="36"/>
          <w:szCs w:val="36"/>
        </w:rPr>
        <w:t>電腦品牌及型號：三星SM-P613</w:t>
      </w:r>
    </w:p>
    <w:p>
      <w:pPr>
        <w:spacing w:line="480" w:lineRule="exact"/>
        <w:ind w:firstLine="2026" w:firstLineChars="563"/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  <w:sz w:val="36"/>
          <w:szCs w:val="36"/>
        </w:rPr>
        <w:t>電腦編號：</w:t>
      </w:r>
      <w:r>
        <w:rPr>
          <w:rFonts w:hint="eastAsia" w:ascii="標楷體" w:hAnsi="標楷體" w:eastAsia="標楷體"/>
          <w:sz w:val="36"/>
          <w:szCs w:val="36"/>
          <w:bdr w:val="single" w:color="auto" w:sz="4" w:space="0"/>
        </w:rPr>
        <w:t>國中部01-0</w:t>
      </w:r>
      <w:r>
        <w:rPr>
          <w:rFonts w:ascii="標楷體" w:hAnsi="標楷體" w:eastAsia="標楷體"/>
          <w:sz w:val="36"/>
          <w:szCs w:val="36"/>
          <w:bdr w:val="single" w:color="auto" w:sz="4" w:space="0"/>
        </w:rPr>
        <w:t>6</w:t>
      </w:r>
    </w:p>
    <w:p>
      <w:pPr>
        <w:spacing w:line="480" w:lineRule="exact"/>
        <w:ind w:firstLine="2026" w:firstLineChars="563"/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  <w:sz w:val="36"/>
          <w:szCs w:val="36"/>
        </w:rPr>
        <w:t>電腦數量：共</w:t>
      </w:r>
      <w:r>
        <w:rPr>
          <w:rFonts w:ascii="標楷體" w:hAnsi="標楷體" w:eastAsia="標楷體"/>
          <w:sz w:val="36"/>
          <w:szCs w:val="36"/>
        </w:rPr>
        <w:t xml:space="preserve">   </w:t>
      </w:r>
      <w:r>
        <w:rPr>
          <w:rFonts w:hint="eastAsia" w:ascii="標楷體" w:hAnsi="標楷體" w:eastAsia="標楷體"/>
          <w:sz w:val="36"/>
          <w:szCs w:val="36"/>
        </w:rPr>
        <w:t xml:space="preserve">台( </w:t>
      </w:r>
      <w:r>
        <w:rPr>
          <w:rFonts w:ascii="標楷體" w:hAnsi="標楷體" w:eastAsia="標楷體"/>
          <w:sz w:val="36"/>
          <w:szCs w:val="36"/>
        </w:rPr>
        <w:t xml:space="preserve">    </w:t>
      </w:r>
      <w:r>
        <w:rPr>
          <w:rFonts w:hint="eastAsia" w:ascii="標楷體" w:hAnsi="標楷體" w:eastAsia="標楷體"/>
          <w:sz w:val="36"/>
          <w:szCs w:val="36"/>
        </w:rPr>
        <w:t>)</w:t>
      </w:r>
    </w:p>
    <w:p>
      <w:pPr>
        <w:spacing w:line="480" w:lineRule="exact"/>
        <w:ind w:firstLine="2408" w:firstLineChars="669"/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  <w:sz w:val="36"/>
          <w:szCs w:val="36"/>
        </w:rPr>
        <w:t>學年度：11</w:t>
      </w:r>
      <w:r>
        <w:rPr>
          <w:rFonts w:hint="default" w:ascii="標楷體" w:hAnsi="標楷體" w:eastAsia="標楷體"/>
          <w:sz w:val="36"/>
          <w:szCs w:val="36"/>
          <w:lang w:val="en-US"/>
        </w:rPr>
        <w:t>2</w:t>
      </w:r>
      <w:bookmarkStart w:id="0" w:name="_GoBack"/>
      <w:bookmarkEnd w:id="0"/>
      <w:r>
        <w:rPr>
          <w:rFonts w:hint="eastAsia" w:ascii="標楷體" w:hAnsi="標楷體" w:eastAsia="標楷體"/>
          <w:sz w:val="36"/>
          <w:szCs w:val="36"/>
        </w:rPr>
        <w:t>學年度</w:t>
      </w:r>
    </w:p>
    <w:p>
      <w:pPr>
        <w:spacing w:line="480" w:lineRule="exact"/>
        <w:ind w:firstLine="2768" w:firstLineChars="769"/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  <w:sz w:val="36"/>
          <w:szCs w:val="36"/>
        </w:rPr>
        <w:t xml:space="preserve">班級： </w:t>
      </w:r>
      <w:r>
        <w:rPr>
          <w:rFonts w:ascii="標楷體" w:hAnsi="標楷體" w:eastAsia="標楷體"/>
          <w:sz w:val="36"/>
          <w:szCs w:val="36"/>
        </w:rPr>
        <w:t xml:space="preserve">  </w:t>
      </w:r>
      <w:r>
        <w:rPr>
          <w:rFonts w:hint="eastAsia" w:ascii="標楷體" w:hAnsi="標楷體" w:eastAsia="標楷體"/>
          <w:sz w:val="36"/>
          <w:szCs w:val="36"/>
        </w:rPr>
        <w:t>年</w:t>
      </w:r>
      <w:r>
        <w:rPr>
          <w:rFonts w:ascii="標楷體" w:hAnsi="標楷體" w:eastAsia="標楷體"/>
          <w:sz w:val="36"/>
          <w:szCs w:val="36"/>
        </w:rPr>
        <w:t xml:space="preserve">   </w:t>
      </w:r>
      <w:r>
        <w:rPr>
          <w:rFonts w:hint="eastAsia" w:ascii="標楷體" w:hAnsi="標楷體" w:eastAsia="標楷體"/>
          <w:sz w:val="36"/>
          <w:szCs w:val="36"/>
        </w:rPr>
        <w:t>班</w:t>
      </w:r>
    </w:p>
    <w:p>
      <w:pPr>
        <w:spacing w:line="480" w:lineRule="exact"/>
        <w:ind w:left="-2" w:leftChars="-1" w:firstLine="1328" w:firstLineChars="369"/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  <w:sz w:val="36"/>
          <w:szCs w:val="36"/>
        </w:rPr>
        <w:t>負責管理學生：                  (副班長)</w:t>
      </w:r>
    </w:p>
    <w:p>
      <w:pPr>
        <w:spacing w:line="480" w:lineRule="exact"/>
        <w:ind w:firstLine="2055" w:firstLineChars="571"/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  <w:sz w:val="36"/>
          <w:szCs w:val="36"/>
        </w:rPr>
        <w:t xml:space="preserve">班級導師： </w:t>
      </w:r>
    </w:p>
    <w:p>
      <w:pPr>
        <w:spacing w:line="480" w:lineRule="exact"/>
        <w:ind w:firstLine="1357" w:firstLineChars="377"/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  <w:sz w:val="36"/>
          <w:szCs w:val="36"/>
        </w:rPr>
        <w:t>學校管理單位：網管(總務處)</w:t>
      </w:r>
    </w:p>
    <w:p>
      <w:pPr>
        <w:jc w:val="center"/>
        <w:rPr>
          <w:rFonts w:ascii="標楷體" w:hAnsi="標楷體" w:eastAsia="標楷體"/>
          <w:spacing w:val="-1"/>
          <w:sz w:val="24"/>
          <w:szCs w:val="24"/>
        </w:rPr>
      </w:pPr>
    </w:p>
    <w:p>
      <w:pPr>
        <w:jc w:val="center"/>
        <w:rPr>
          <w:rFonts w:ascii="標楷體" w:hAnsi="標楷體" w:eastAsia="標楷體"/>
          <w:spacing w:val="-1"/>
          <w:sz w:val="24"/>
          <w:szCs w:val="24"/>
        </w:rPr>
      </w:pPr>
    </w:p>
    <w:p>
      <w:pPr>
        <w:jc w:val="center"/>
        <w:rPr>
          <w:rFonts w:ascii="標楷體" w:hAnsi="標楷體" w:eastAsia="標楷體"/>
          <w:spacing w:val="-1"/>
          <w:sz w:val="24"/>
          <w:szCs w:val="24"/>
        </w:rPr>
      </w:pPr>
    </w:p>
    <w:p>
      <w:pPr>
        <w:spacing w:line="400" w:lineRule="exact"/>
        <w:jc w:val="center"/>
        <w:rPr>
          <w:rFonts w:ascii="標楷體" w:hAnsi="標楷體" w:eastAsia="標楷體" w:cstheme="minorBidi"/>
          <w:b/>
          <w:sz w:val="28"/>
          <w:szCs w:val="28"/>
          <w:u w:val="single"/>
        </w:rPr>
      </w:pPr>
      <w:r>
        <w:rPr>
          <w:rFonts w:hint="eastAsia" w:ascii="標楷體" w:hAnsi="標楷體" w:eastAsia="標楷體"/>
          <w:b/>
          <w:sz w:val="28"/>
          <w:szCs w:val="28"/>
          <w:u w:val="single"/>
        </w:rPr>
        <w:t>嘉義縣阿里山國民中小學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三星平板電腦及HP小筆電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使用規定</w:t>
      </w:r>
    </w:p>
    <w:p>
      <w:pPr>
        <w:spacing w:line="400" w:lineRule="exact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一、</w:t>
      </w:r>
      <w:r>
        <w:rPr>
          <w:rFonts w:hint="eastAsia" w:ascii="標楷體" w:hAnsi="標楷體" w:eastAsia="標楷體"/>
          <w:b/>
          <w:sz w:val="28"/>
          <w:szCs w:val="28"/>
        </w:rPr>
        <w:t>各班管理人-副班長</w:t>
      </w:r>
      <w:r>
        <w:rPr>
          <w:rFonts w:hint="eastAsia" w:ascii="標楷體" w:hAnsi="標楷體" w:eastAsia="標楷體"/>
          <w:sz w:val="28"/>
          <w:szCs w:val="28"/>
        </w:rPr>
        <w:t>(職責)</w:t>
      </w:r>
    </w:p>
    <w:p>
      <w:pPr>
        <w:spacing w:line="400" w:lineRule="exact"/>
        <w:ind w:firstLine="554" w:firstLineChars="198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(一)每日檢查「充電車鑰匙」及盤點「電腦數量」是否正確。</w:t>
      </w:r>
    </w:p>
    <w:p>
      <w:pPr>
        <w:spacing w:line="400" w:lineRule="exact"/>
        <w:ind w:firstLine="554" w:firstLineChars="198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(二)每日檢查「電腦」及「鍵盤」充電情形</w:t>
      </w:r>
    </w:p>
    <w:p>
      <w:pPr>
        <w:spacing w:line="400" w:lineRule="exact"/>
        <w:ind w:firstLine="554" w:firstLineChars="198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(三)督導同學借用、歸還及使用情形，如有故障請向「總務主任」回報。</w:t>
      </w:r>
    </w:p>
    <w:p>
      <w:pPr>
        <w:spacing w:line="400" w:lineRule="exact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二、</w:t>
      </w:r>
      <w:r>
        <w:rPr>
          <w:rFonts w:hint="eastAsia" w:ascii="標楷體" w:hAnsi="標楷體" w:eastAsia="標楷體"/>
          <w:b/>
          <w:sz w:val="28"/>
          <w:szCs w:val="28"/>
        </w:rPr>
        <w:t>使用規定</w:t>
      </w:r>
      <w:r>
        <w:rPr>
          <w:rFonts w:hint="eastAsia" w:ascii="標楷體" w:hAnsi="標楷體" w:eastAsia="標楷體"/>
          <w:sz w:val="28"/>
          <w:szCs w:val="28"/>
        </w:rPr>
        <w:t>：</w:t>
      </w:r>
    </w:p>
    <w:p>
      <w:pPr>
        <w:spacing w:line="400" w:lineRule="exact"/>
        <w:ind w:firstLine="495" w:firstLineChars="177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(一)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愛惜使用</w:t>
      </w:r>
      <w:r>
        <w:rPr>
          <w:rFonts w:hint="eastAsia" w:ascii="標楷體" w:hAnsi="標楷體" w:eastAsia="標楷體"/>
          <w:sz w:val="28"/>
          <w:szCs w:val="28"/>
        </w:rPr>
        <w:t>：使用時請拿取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固定編號</w:t>
      </w:r>
      <w:r>
        <w:rPr>
          <w:rFonts w:hint="eastAsia" w:ascii="標楷體" w:hAnsi="標楷體" w:eastAsia="標楷體"/>
          <w:sz w:val="28"/>
          <w:szCs w:val="28"/>
        </w:rPr>
        <w:t>，並愛惜使用(故意損壞要賠償)</w:t>
      </w:r>
    </w:p>
    <w:p>
      <w:pPr>
        <w:spacing w:line="400" w:lineRule="exact"/>
        <w:ind w:firstLine="495" w:firstLineChars="177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(二)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當日借用(不用登記)</w:t>
      </w:r>
      <w:r>
        <w:rPr>
          <w:rFonts w:hint="eastAsia" w:ascii="標楷體" w:hAnsi="標楷體" w:eastAsia="標楷體"/>
          <w:sz w:val="28"/>
          <w:szCs w:val="28"/>
        </w:rPr>
        <w:t>：使用完成後，放回充電車，並充電(平板及鍵盤)</w:t>
      </w:r>
    </w:p>
    <w:p>
      <w:pPr>
        <w:spacing w:line="400" w:lineRule="exact"/>
        <w:ind w:firstLine="495" w:firstLineChars="177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(三)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隔夜借用(要登記)</w:t>
      </w:r>
      <w:r>
        <w:rPr>
          <w:rFonts w:hint="eastAsia" w:ascii="標楷體" w:hAnsi="標楷體" w:eastAsia="標楷體"/>
          <w:sz w:val="28"/>
          <w:szCs w:val="28"/>
        </w:rPr>
        <w:t>：共有4項(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A平板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B鍵盤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C充電組</w:t>
      </w:r>
      <w:r>
        <w:rPr>
          <w:rFonts w:hint="eastAsia" w:ascii="標楷體" w:hAnsi="標楷體" w:eastAsia="標楷體"/>
          <w:sz w:val="28"/>
          <w:szCs w:val="28"/>
        </w:rPr>
        <w:t>及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D感應筆</w:t>
      </w:r>
      <w:r>
        <w:rPr>
          <w:rFonts w:hint="eastAsia" w:ascii="標楷體" w:hAnsi="標楷體" w:eastAsia="標楷體"/>
          <w:sz w:val="28"/>
          <w:szCs w:val="28"/>
        </w:rPr>
        <w:t>)</w:t>
      </w:r>
    </w:p>
    <w:p>
      <w:pPr>
        <w:spacing w:before="120" w:beforeLines="50" w:line="400" w:lineRule="exact"/>
        <w:ind w:firstLine="3967" w:firstLineChars="1417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借用登記簿</w:t>
      </w:r>
      <w:r>
        <w:rPr>
          <w:rFonts w:hint="eastAsia" w:ascii="標楷體" w:hAnsi="標楷體" w:eastAsia="標楷體"/>
          <w:sz w:val="28"/>
          <w:szCs w:val="28"/>
        </w:rPr>
        <w:t xml:space="preserve">             </w:t>
      </w:r>
      <w:r>
        <w:rPr>
          <w:rFonts w:hint="eastAsia" w:ascii="標楷體" w:hAnsi="標楷體" w:eastAsia="標楷體"/>
          <w:b/>
          <w:sz w:val="28"/>
          <w:szCs w:val="28"/>
        </w:rPr>
        <w:t>班級</w:t>
      </w:r>
      <w:r>
        <w:rPr>
          <w:rFonts w:hint="eastAsia" w:ascii="標楷體" w:hAnsi="標楷體" w:eastAsia="標楷體"/>
          <w:sz w:val="28"/>
          <w:szCs w:val="28"/>
        </w:rPr>
        <w:t>：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/>
          <w:b/>
          <w:sz w:val="28"/>
          <w:szCs w:val="28"/>
        </w:rPr>
        <w:t>年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/>
          <w:b/>
          <w:sz w:val="28"/>
          <w:szCs w:val="28"/>
        </w:rPr>
        <w:t>班</w:t>
      </w:r>
    </w:p>
    <w:tbl>
      <w:tblPr>
        <w:tblStyle w:val="3"/>
        <w:tblW w:w="10517" w:type="dxa"/>
        <w:tblInd w:w="-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6"/>
        <w:gridCol w:w="1276"/>
        <w:gridCol w:w="1276"/>
        <w:gridCol w:w="2693"/>
        <w:gridCol w:w="1417"/>
        <w:gridCol w:w="1418"/>
        <w:gridCol w:w="1691"/>
      </w:tblGrid>
      <w:tr>
        <w:trPr>
          <w:trHeight w:val="384" w:hRule="atLeast"/>
        </w:trPr>
        <w:tc>
          <w:tcPr>
            <w:tcW w:w="7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座號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電腦編號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借用品名(填編號)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借用日期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歸還日期</w:t>
            </w:r>
          </w:p>
        </w:tc>
        <w:tc>
          <w:tcPr>
            <w:tcW w:w="1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機器狀況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7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4"/>
                <w:szCs w:val="24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故障 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  <w:tr>
        <w:trPr>
          <w:trHeight w:val="447" w:hRule="atLeast"/>
        </w:trPr>
        <w:tc>
          <w:tcPr>
            <w:tcW w:w="7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正常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新細明體" w:hAnsi="新細明體" w:eastAsia="新細明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故障</w:t>
            </w:r>
          </w:p>
        </w:tc>
      </w:tr>
    </w:tbl>
    <w:p>
      <w:pPr>
        <w:jc w:val="center"/>
        <w:rPr>
          <w:rFonts w:hint="eastAsia" w:ascii="標楷體" w:hAnsi="標楷體" w:eastAsia="標楷體"/>
          <w:spacing w:val="-1"/>
          <w:sz w:val="24"/>
          <w:szCs w:val="24"/>
        </w:rPr>
      </w:pPr>
    </w:p>
    <w:sectPr>
      <w:pgSz w:w="11910" w:h="16840"/>
      <w:pgMar w:top="851" w:right="851" w:bottom="851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新細明體">
    <w:panose1 w:val="02020500000000000000"/>
    <w:charset w:val="86"/>
    <w:family w:val="roman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細明體">
    <w:panose1 w:val="02020509000000000000"/>
    <w:charset w:val="86"/>
    <w:family w:val="modern"/>
    <w:pitch w:val="default"/>
    <w:sig w:usb0="00000000" w:usb1="00000000" w:usb2="00000000" w:usb3="00000000" w:csb0="0016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新細明體">
    <w:panose1 w:val="02020500000000000000"/>
    <w:charset w:val="88"/>
    <w:family w:val="roman"/>
    <w:pitch w:val="default"/>
    <w:sig w:usb0="00000000" w:usb1="00000000" w:usb2="00000000" w:usb3="00000000" w:csb0="0016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標楷體">
    <w:panose1 w:val="02010601000101010101"/>
    <w:charset w:val="88"/>
    <w:family w:val="script"/>
    <w:pitch w:val="default"/>
    <w:sig w:usb0="00000000" w:usb1="00000000" w:usb2="00000000" w:usb3="00000000" w:csb0="001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849CD"/>
    <w:multiLevelType w:val="multilevel"/>
    <w:tmpl w:val="595849CD"/>
    <w:lvl w:ilvl="0" w:tentative="0">
      <w:start w:val="1"/>
      <w:numFmt w:val="taiwaneseCountingThousand"/>
      <w:lvlText w:val="%1、"/>
      <w:lvlJc w:val="left"/>
      <w:pPr>
        <w:ind w:left="742" w:hanging="48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222" w:hanging="480"/>
      </w:pPr>
    </w:lvl>
    <w:lvl w:ilvl="2" w:tentative="0">
      <w:start w:val="1"/>
      <w:numFmt w:val="lowerRoman"/>
      <w:lvlText w:val="%3."/>
      <w:lvlJc w:val="right"/>
      <w:pPr>
        <w:ind w:left="1702" w:hanging="480"/>
      </w:pPr>
    </w:lvl>
    <w:lvl w:ilvl="3" w:tentative="0">
      <w:start w:val="1"/>
      <w:numFmt w:val="decimal"/>
      <w:lvlText w:val="%4."/>
      <w:lvlJc w:val="left"/>
      <w:pPr>
        <w:ind w:left="2182" w:hanging="480"/>
      </w:pPr>
    </w:lvl>
    <w:lvl w:ilvl="4" w:tentative="0">
      <w:start w:val="1"/>
      <w:numFmt w:val="ideographTraditional"/>
      <w:lvlText w:val="%5、"/>
      <w:lvlJc w:val="left"/>
      <w:pPr>
        <w:ind w:left="2662" w:hanging="480"/>
      </w:pPr>
    </w:lvl>
    <w:lvl w:ilvl="5" w:tentative="0">
      <w:start w:val="1"/>
      <w:numFmt w:val="lowerRoman"/>
      <w:lvlText w:val="%6."/>
      <w:lvlJc w:val="right"/>
      <w:pPr>
        <w:ind w:left="3142" w:hanging="480"/>
      </w:pPr>
    </w:lvl>
    <w:lvl w:ilvl="6" w:tentative="0">
      <w:start w:val="1"/>
      <w:numFmt w:val="decimal"/>
      <w:lvlText w:val="%7."/>
      <w:lvlJc w:val="left"/>
      <w:pPr>
        <w:ind w:left="3622" w:hanging="480"/>
      </w:pPr>
    </w:lvl>
    <w:lvl w:ilvl="7" w:tentative="0">
      <w:start w:val="1"/>
      <w:numFmt w:val="ideographTraditional"/>
      <w:lvlText w:val="%8、"/>
      <w:lvlJc w:val="left"/>
      <w:pPr>
        <w:ind w:left="4102" w:hanging="480"/>
      </w:pPr>
    </w:lvl>
    <w:lvl w:ilvl="8" w:tentative="0">
      <w:start w:val="1"/>
      <w:numFmt w:val="lowerRoman"/>
      <w:lvlText w:val="%9."/>
      <w:lvlJc w:val="right"/>
      <w:pPr>
        <w:ind w:left="45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A6"/>
    <w:rsid w:val="00006776"/>
    <w:rsid w:val="00014E43"/>
    <w:rsid w:val="000217C9"/>
    <w:rsid w:val="00047140"/>
    <w:rsid w:val="00056340"/>
    <w:rsid w:val="00073E56"/>
    <w:rsid w:val="00091080"/>
    <w:rsid w:val="000B6996"/>
    <w:rsid w:val="000D05A2"/>
    <w:rsid w:val="000F4CF0"/>
    <w:rsid w:val="000F7F9D"/>
    <w:rsid w:val="00112571"/>
    <w:rsid w:val="00183B6F"/>
    <w:rsid w:val="001A1D4D"/>
    <w:rsid w:val="001B7ABB"/>
    <w:rsid w:val="001F6A01"/>
    <w:rsid w:val="00212119"/>
    <w:rsid w:val="002406A3"/>
    <w:rsid w:val="00252549"/>
    <w:rsid w:val="00257156"/>
    <w:rsid w:val="002C764C"/>
    <w:rsid w:val="002D15AD"/>
    <w:rsid w:val="00306C57"/>
    <w:rsid w:val="003233EF"/>
    <w:rsid w:val="00331464"/>
    <w:rsid w:val="003501A2"/>
    <w:rsid w:val="00361483"/>
    <w:rsid w:val="003A28C0"/>
    <w:rsid w:val="003C13DA"/>
    <w:rsid w:val="003C344B"/>
    <w:rsid w:val="003E4D62"/>
    <w:rsid w:val="00410C7B"/>
    <w:rsid w:val="00455B94"/>
    <w:rsid w:val="00461118"/>
    <w:rsid w:val="00471442"/>
    <w:rsid w:val="00493F52"/>
    <w:rsid w:val="004974A6"/>
    <w:rsid w:val="00501B50"/>
    <w:rsid w:val="00525718"/>
    <w:rsid w:val="00537DD6"/>
    <w:rsid w:val="00540881"/>
    <w:rsid w:val="00551817"/>
    <w:rsid w:val="00585E15"/>
    <w:rsid w:val="00592000"/>
    <w:rsid w:val="00597158"/>
    <w:rsid w:val="005F1B52"/>
    <w:rsid w:val="00663322"/>
    <w:rsid w:val="00694D66"/>
    <w:rsid w:val="006B1D03"/>
    <w:rsid w:val="00716103"/>
    <w:rsid w:val="00717D6F"/>
    <w:rsid w:val="007728ED"/>
    <w:rsid w:val="007B1269"/>
    <w:rsid w:val="007B7A4F"/>
    <w:rsid w:val="007C2A22"/>
    <w:rsid w:val="008111FD"/>
    <w:rsid w:val="00811521"/>
    <w:rsid w:val="0084059D"/>
    <w:rsid w:val="00846440"/>
    <w:rsid w:val="008927A6"/>
    <w:rsid w:val="008C60D6"/>
    <w:rsid w:val="008E02C4"/>
    <w:rsid w:val="00913648"/>
    <w:rsid w:val="009202CA"/>
    <w:rsid w:val="00997D21"/>
    <w:rsid w:val="009E0B38"/>
    <w:rsid w:val="009F7B8A"/>
    <w:rsid w:val="00A10B71"/>
    <w:rsid w:val="00AE62F9"/>
    <w:rsid w:val="00B35F62"/>
    <w:rsid w:val="00B73B0E"/>
    <w:rsid w:val="00BB275A"/>
    <w:rsid w:val="00BD59DC"/>
    <w:rsid w:val="00BF2E78"/>
    <w:rsid w:val="00C0041C"/>
    <w:rsid w:val="00C4334D"/>
    <w:rsid w:val="00C45C05"/>
    <w:rsid w:val="00C75CDB"/>
    <w:rsid w:val="00C834C4"/>
    <w:rsid w:val="00CA386D"/>
    <w:rsid w:val="00CC4697"/>
    <w:rsid w:val="00DA4097"/>
    <w:rsid w:val="00DC56FB"/>
    <w:rsid w:val="00DF2C76"/>
    <w:rsid w:val="00E45E45"/>
    <w:rsid w:val="00E45FC7"/>
    <w:rsid w:val="00E6421C"/>
    <w:rsid w:val="00E67B43"/>
    <w:rsid w:val="00EE20DC"/>
    <w:rsid w:val="00EE3647"/>
    <w:rsid w:val="00EF2960"/>
    <w:rsid w:val="00EF73D2"/>
    <w:rsid w:val="00F10B15"/>
    <w:rsid w:val="00F2479C"/>
    <w:rsid w:val="00F42A1C"/>
    <w:rsid w:val="00F87682"/>
    <w:rsid w:val="00FB3B37"/>
    <w:rsid w:val="00FF39E9"/>
    <w:rsid w:val="00FF690B"/>
    <w:rsid w:val="EFE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SimSun" w:hAnsi="SimSun" w:eastAsia="SimSun" w:cs="SimSun"/>
      <w:sz w:val="22"/>
      <w:szCs w:val="22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ody Text"/>
    <w:basedOn w:val="1"/>
    <w:qFormat/>
    <w:uiPriority w:val="1"/>
    <w:pPr>
      <w:ind w:left="1073" w:hanging="480"/>
    </w:pPr>
    <w:rPr>
      <w:sz w:val="24"/>
      <w:szCs w:val="24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Balloon Text"/>
    <w:basedOn w:val="1"/>
    <w:link w:val="14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頁首 字元"/>
    <w:basedOn w:val="2"/>
    <w:link w:val="4"/>
    <w:uiPriority w:val="99"/>
    <w:rPr>
      <w:rFonts w:ascii="SimSun" w:hAnsi="SimSun" w:eastAsia="SimSun" w:cs="SimSun"/>
      <w:sz w:val="20"/>
      <w:szCs w:val="20"/>
      <w:lang w:eastAsia="zh-TW"/>
    </w:rPr>
  </w:style>
  <w:style w:type="character" w:customStyle="1" w:styleId="13">
    <w:name w:val="頁尾 字元"/>
    <w:basedOn w:val="2"/>
    <w:link w:val="6"/>
    <w:uiPriority w:val="99"/>
    <w:rPr>
      <w:rFonts w:ascii="SimSun" w:hAnsi="SimSun" w:eastAsia="SimSun" w:cs="SimSun"/>
      <w:sz w:val="20"/>
      <w:szCs w:val="20"/>
      <w:lang w:eastAsia="zh-TW"/>
    </w:rPr>
  </w:style>
  <w:style w:type="character" w:customStyle="1" w:styleId="14">
    <w:name w:val="註解方塊文字 字元"/>
    <w:basedOn w:val="2"/>
    <w:link w:val="7"/>
    <w:semiHidden/>
    <w:uiPriority w:val="99"/>
    <w:rPr>
      <w:rFonts w:asciiTheme="majorHAnsi" w:hAnsiTheme="majorHAnsi" w:eastAsiaTheme="majorEastAsia" w:cstheme="majorBidi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1745</Characters>
  <Lines>14</Lines>
  <Paragraphs>4</Paragraphs>
  <TotalTime>152</TotalTime>
  <ScaleCrop>false</ScaleCrop>
  <LinksUpToDate>false</LinksUpToDate>
  <CharactersWithSpaces>2047</CharactersWithSpaces>
  <Application>WPS Office_5.7.0.8090_F1E327BC-269C-435d-A152-05C5408002CA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2022-10-12T09:17:00Z</dcterms:created>
  <dc:creator>USER</dc:creator>
  <cp:lastModifiedBy>TaichiJoe</cp:lastModifiedBy>
  <cp:lastPrinted>2022-09-27T15:13:00Z</cp:lastPrinted>
  <dcterms:modified xsi:type="dcterms:W3CDTF">2024-05-10T10:32:24Z</dcterms:modified>
  <dc:title>主旨：有關臺北市議會審議103年度本市地方總預算案附屬單位預算及綜計表審議意見書一案，提請 討論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  <property fmtid="{D5CDD505-2E9C-101B-9397-08002B2CF9AE}" pid="5" name="KSOProductBuildVer">
    <vt:lpwstr>1028-5.7.0.8090</vt:lpwstr>
  </property>
</Properties>
</file>